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E5" w:rsidRDefault="00694335" w:rsidP="00942D57">
      <w:pPr>
        <w:spacing w:after="0" w:line="240" w:lineRule="auto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77ED4" wp14:editId="42F96C46">
            <wp:simplePos x="0" y="0"/>
            <wp:positionH relativeFrom="column">
              <wp:posOffset>7467600</wp:posOffset>
            </wp:positionH>
            <wp:positionV relativeFrom="paragraph">
              <wp:posOffset>214630</wp:posOffset>
            </wp:positionV>
            <wp:extent cx="1028700" cy="1028700"/>
            <wp:effectExtent l="0" t="0" r="0" b="0"/>
            <wp:wrapSquare wrapText="bothSides"/>
            <wp:docPr id="4" name="Picture 4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39A" w:rsidRPr="00942D57" w:rsidRDefault="008D0EE5" w:rsidP="00942D57">
      <w:pPr>
        <w:spacing w:after="0" w:line="240" w:lineRule="auto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072BA61" wp14:editId="1C64E69E">
            <wp:extent cx="906780" cy="9353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57"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  <w:t xml:space="preserve">                                                                                                                                                                     </w:t>
      </w:r>
      <w:r w:rsidR="00942D57">
        <w:rPr>
          <w:rFonts w:ascii="Book Antiqua" w:eastAsia="Times New Roman" w:hAnsi="Book Antiqua" w:cs="Book Antiqua"/>
          <w:b/>
          <w:bCs/>
          <w:sz w:val="28"/>
          <w:szCs w:val="24"/>
          <w:lang w:val="sq-AL"/>
        </w:rPr>
        <w:t xml:space="preserve">                                                     </w:t>
      </w:r>
    </w:p>
    <w:p w:rsidR="00942D57" w:rsidRDefault="00942D57" w:rsidP="0075539A">
      <w:pPr>
        <w:spacing w:after="0" w:line="240" w:lineRule="auto"/>
        <w:jc w:val="center"/>
        <w:rPr>
          <w:rFonts w:ascii="Book Antiqua" w:eastAsia="Batang" w:hAnsi="Book Antiqua" w:cs="Book Antiqua"/>
          <w:b/>
          <w:bCs/>
          <w:sz w:val="24"/>
          <w:szCs w:val="24"/>
          <w:lang w:val="sq-AL"/>
        </w:rPr>
      </w:pPr>
    </w:p>
    <w:p w:rsidR="00942D57" w:rsidRDefault="00942D57" w:rsidP="005B0063">
      <w:pPr>
        <w:spacing w:after="0" w:line="240" w:lineRule="auto"/>
        <w:jc w:val="center"/>
        <w:rPr>
          <w:rFonts w:ascii="Book Antiqua" w:eastAsia="Batang" w:hAnsi="Book Antiqua" w:cs="Book Antiqua"/>
          <w:b/>
          <w:bCs/>
          <w:sz w:val="24"/>
          <w:szCs w:val="24"/>
          <w:lang w:val="sq-AL"/>
        </w:rPr>
      </w:pPr>
      <w:r>
        <w:rPr>
          <w:rFonts w:ascii="Book Antiqua" w:eastAsia="Batang" w:hAnsi="Book Antiqua" w:cs="Book Antiqua"/>
          <w:b/>
          <w:bCs/>
          <w:sz w:val="24"/>
          <w:szCs w:val="24"/>
          <w:lang w:val="sq-AL"/>
        </w:rPr>
        <w:t>REPUBLIKA E KOSOVËS</w:t>
      </w:r>
    </w:p>
    <w:p w:rsidR="0075539A" w:rsidRPr="0075539A" w:rsidRDefault="0075539A" w:rsidP="005B0063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4"/>
          <w:szCs w:val="24"/>
          <w:lang w:val="sq-AL"/>
        </w:rPr>
      </w:pPr>
      <w:r w:rsidRPr="0075539A">
        <w:rPr>
          <w:rFonts w:ascii="Book Antiqua" w:eastAsia="Batang" w:hAnsi="Book Antiqua" w:cs="Book Antiqua"/>
          <w:b/>
          <w:bCs/>
          <w:sz w:val="24"/>
          <w:szCs w:val="24"/>
          <w:lang w:val="sq-AL"/>
        </w:rPr>
        <w:t xml:space="preserve">Republika Kosova - </w:t>
      </w:r>
      <w:r w:rsidRPr="0075539A">
        <w:rPr>
          <w:rFonts w:ascii="Book Antiqua" w:eastAsia="Times New Roman" w:hAnsi="Book Antiqua" w:cs="Book Antiqua"/>
          <w:b/>
          <w:bCs/>
          <w:sz w:val="24"/>
          <w:szCs w:val="24"/>
          <w:lang w:val="sq-AL"/>
        </w:rPr>
        <w:t>Republic of Kosovo</w:t>
      </w:r>
    </w:p>
    <w:p w:rsidR="0075539A" w:rsidRPr="0075539A" w:rsidRDefault="0075539A" w:rsidP="005B0063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</w:pPr>
    </w:p>
    <w:p w:rsidR="0075539A" w:rsidRPr="00942D57" w:rsidRDefault="0075539A" w:rsidP="005B0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942D5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sq-AL"/>
        </w:rPr>
        <w:t xml:space="preserve">Komuna e </w:t>
      </w:r>
      <w:r w:rsidR="00942D57" w:rsidRPr="00942D5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sq-AL"/>
        </w:rPr>
        <w:t xml:space="preserve"> DRAGASHIT</w:t>
      </w:r>
    </w:p>
    <w:p w:rsidR="0075539A" w:rsidRPr="0075539A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p w:rsidR="0075539A" w:rsidRPr="0075539A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FC6B56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</w:t>
      </w:r>
      <w:r w:rsidR="0075539A"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PLANI  I VEPRIMIT  KUNDËR BRAKTISJES DHE MOSREGJISTRIMIT TË SHKOLLËS</w:t>
      </w:r>
    </w:p>
    <w:p w:rsidR="0075539A" w:rsidRPr="0075539A" w:rsidRDefault="003D7E48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942D57">
        <w:rPr>
          <w:rFonts w:ascii="Times New Roman" w:eastAsia="Calibri" w:hAnsi="Times New Roman" w:cs="Times New Roman"/>
          <w:b/>
          <w:sz w:val="24"/>
          <w:szCs w:val="24"/>
          <w:lang w:val="sq-AL"/>
        </w:rPr>
        <w:t>2024</w:t>
      </w:r>
      <w:r w:rsidR="00861D17">
        <w:rPr>
          <w:rFonts w:ascii="Times New Roman" w:eastAsia="Calibri" w:hAnsi="Times New Roman" w:cs="Times New Roman"/>
          <w:b/>
          <w:sz w:val="24"/>
          <w:szCs w:val="24"/>
          <w:lang w:val="sq-AL"/>
        </w:rPr>
        <w:t>-26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lastRenderedPageBreak/>
        <w:t xml:space="preserve">                                                                                                        </w:t>
      </w:r>
      <w:r w:rsidR="003D7E48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2023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Përmbajtja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Lista e shkurtesave …………………………………………………………………………………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Hyrje ………………………………………………………………………………………………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Konteksti.........................................………………………………………………………….........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Qëllimi i planit të veprimit………………………………………………………………………..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Objektivat  ..........................................…………………………………………………...............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Shtojca.............................................................................................................................................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 xml:space="preserve">Shkurtesat 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=====================================================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MASHTI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Ministria e Arsimit, Shkencës, Teknologjisë dhe Inovacionit</w:t>
      </w:r>
    </w:p>
    <w:p w:rsidR="0075539A" w:rsidRPr="0075539A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DKA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Drejtoritë Komunale të Arsimit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SMIA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Sistemi i Menaxhimit të Informacioneve në Arsim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EPRBM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Ekipi për Parandalim dhe Reagim ndaj Braktisjes dhe </w:t>
      </w:r>
      <w:r w:rsidR="00CB3058"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Mos regjistrimit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KN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Këshilli i nxënësve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Këshilli i prindërve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KPAK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Komiteti i  Prindërve të Arsimit të  Kosovës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QPS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Qendra për Punë Sociale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OJQ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Organizatë Joqeveritare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UNICEF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Fondi Ndërkombëtar për Fëmijë i Kombeve të Bashkuara 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ECMI            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Qendra Evropiane për Çështje të Minoriteteve  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HYRJE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Janë një varg konventash  dhe standardesh ndërkombëtare, të  cilat kërkojnë qasje  dhe mundësi të barabartë në arsim cilësor, prandaj shteti ka detyrim  të ndërmarr të gjitha masat e nevojshme për të siguruar të drejtën e arsimit për të gjithë qytetarët e vet pa dallim gjinie, etnie, aftësie e gjendje tjetër.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Meqë po flasim për shkollat dhe nxënësit/ fëmijët e arsimit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parauniversitar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po i referohemi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eksluzivisht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Konventës për të Drejtat e Fëmijës,</w:t>
      </w:r>
      <w:r w:rsidRPr="0075539A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si traktati që i mbulon në mënyrë gjithëpërfshirëse të drejtat e fëmijës në çdo cep të botës. Duke u thirrur në parimet bazë të kësaj konvente, shtetet orientojnë politikat nacionale, prandaj ato janë bazamenti i të drejtave universale për çdo fëmijë/ individ: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Mosdiskriminimi</w:t>
      </w:r>
      <w:proofErr w:type="spellEnd"/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,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Pjesëmarrja,  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Interesi më i lartë i fëmijës  dhe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Zhvillimi i potencialit të plotë. 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Bazuar në këto parime, institucionet arsimore duhet të kujdesen për pjesëmarrje dhe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gjithëpërfshirje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arsim cilësor, duke siguruar zhvillimin e fëmijëve brenda potencialit të plotë.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Kushtetuta e Republikës së Kosovës  (Nenin 47) dhe legjislacioni i arsimit  garantojnë të drejtën e arsimimit për të gjithë pa dallim gjinie, etnie, aftësie a gjendje tjetër, duke pasur për</w:t>
      </w:r>
      <w:r w:rsidR="00E41C1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bazë  të drejtat e njeriut/ fëmijës.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Ligjet aktuale: Ligji për Edukimin Parashkollor, Ligji për Arsimin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Parauniversitar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Ligji për Arsim dhe Aftësim Profesional, Ligji për arsimin dhe aftësimin për të rritur, Ligji për  Ligji për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Inspeksionin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Arsimit në Kosovë, Ligji për Arsimin në Komunat e Republikës së Kosovës,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etj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, bashkë me aktet nënligjore përcjellëse adresojnë mundësitë e barabarta dhe qasjen e gjithëpërfshirëse në arsim cilësor.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Barrierat e natyrave të ndryshme brenda sistemit arsimor, sidomos ato të qasjes në arsim, ndërlidhur me faktorët e shumtë individualë, familjarë, shoqërorë  me kontekste të ndryshme sociale, ekonomike, shëndetësore e kulturore, kërkojnë qasje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multidisiplinare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prandaj i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 xml:space="preserve">kemi ligjet tjera relevante si: Ligji për Shërbime Sociale dhe Familjare, Kodi i Përkohshëm i Procedurës Penale, Ligji i Policisë, shëndetësisë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etj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,  që bashkë me rregulloret dhe mekanizmat tjerë institucionalë,  na e kërkojnë bashkëveprimin e plotë për të funksionuar si hallka të shtetit në adresimin e problemeve me të cilat ballafaqohemi.</w:t>
      </w:r>
    </w:p>
    <w:p w:rsidR="0075539A" w:rsidRPr="0075539A" w:rsidRDefault="0075539A" w:rsidP="007553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Legjislacioni i arsimit, obligon institucionet përgjegjëse si: Ministria e Arsimit, Shkencës, Teknologjisë dhe Inovacionit, komunat, institucionet arsimore dhe komunitetin, që të marrin të gjitha hapat e arsyeshëm që institucionet arsimore të jenë cilësore, gjithëpërfshirëse,  humane dhe të sigurta, siç e kërkojnë politikat arsimore, përfshirë standardet për shkollat mike,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kurrikulat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dhe secila  hallkë e  sistemit arsimor.  Janë një varg aktesh nënligjore që ndihmojnë zhvillimin e procedurave për sigurimin e  qasjes e barabartë në arsim, zbatimin e ligjeve në fuqi.  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Pastaj kemi dokumentet strategjike  relevante që për prioritet kanë pjesëmarrjen dhe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gjithëpërfshirjen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arsim, si dhe dokumentet tjera st</w:t>
      </w:r>
      <w:r w:rsidR="0030457C">
        <w:rPr>
          <w:rFonts w:ascii="Times New Roman" w:eastAsia="Calibri" w:hAnsi="Times New Roman" w:cs="Times New Roman"/>
          <w:sz w:val="24"/>
          <w:szCs w:val="24"/>
          <w:lang w:val="sq-AL"/>
        </w:rPr>
        <w:t>r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ategjike  ndër</w:t>
      </w:r>
      <w:r w:rsidR="0030457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sektoriale dhe procedurat standarde që adresojnë aspektet e qasjes në arsim të viktimave të trafikimit, dhunës, krimit  dhe rrethanave tjera çfarëdo qofshin ato.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Në funksion të zbatimit të këtyre politikave dhe konkretisht në adresimin e pjesëmarrjes në arsim ne me këtë plan komunal përqendrojmë vëmendjen te parandalimi dhe reagimi ndaj</w:t>
      </w:r>
      <w:r w:rsidR="0030457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b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raktisjes dhe </w:t>
      </w:r>
      <w:proofErr w:type="spellStart"/>
      <w:r w:rsidR="001549B6">
        <w:rPr>
          <w:rFonts w:ascii="Times New Roman" w:eastAsia="Calibri" w:hAnsi="Times New Roman" w:cs="Times New Roman"/>
          <w:sz w:val="24"/>
          <w:szCs w:val="24"/>
          <w:lang w:val="sq-AL"/>
        </w:rPr>
        <w:t>mos</w:t>
      </w:r>
      <w:r w:rsidR="0030457C"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regjistrimit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shkollës, për të siguruar që të gjithë fëmijët, të jenë përfitues të sistemit arsimor dhe të zhvillohen bre</w:t>
      </w:r>
      <w:r w:rsidR="00A24F2A">
        <w:rPr>
          <w:rFonts w:ascii="Times New Roman" w:eastAsia="Calibri" w:hAnsi="Times New Roman" w:cs="Times New Roman"/>
          <w:sz w:val="24"/>
          <w:szCs w:val="24"/>
          <w:lang w:val="sq-AL"/>
        </w:rPr>
        <w:t>nd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a potencialit të plotë.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Konteksti</w:t>
      </w:r>
    </w:p>
    <w:p w:rsidR="0075539A" w:rsidRDefault="0075539A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39A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023C70" w:rsidRPr="00F84DE6" w:rsidRDefault="00023C70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>Dragashi është komuna më jugore e Kosovës, e cil</w:t>
      </w:r>
      <w:r w:rsidR="00CC6120" w:rsidRPr="00F84DE6">
        <w:rPr>
          <w:rFonts w:ascii="Times New Roman" w:hAnsi="Times New Roman" w:cs="Times New Roman"/>
          <w:sz w:val="24"/>
          <w:szCs w:val="24"/>
          <w:lang w:val="sq-AL"/>
        </w:rPr>
        <w:t>a k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ufizohet me vendet fqinje të, </w:t>
      </w:r>
      <w:r w:rsidR="00CC6120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Maqedonisë dhe </w:t>
      </w:r>
      <w:r w:rsidR="00CC6120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Në veri, Dragashi kufizohet me Komunën e Prizrenit që është qendra e rajonit jugor të Kosovës në kuadër të së cilës është dhe Dragashi. Qyteti i Dragashit është 37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>km larg nga qyteti i Prizrenit. Komuna përfshin një sipërfaqe prej 435.8km², afërsisht 4% e tërë territorit të Kosovës dhe është e teta për nga madhësia në mesin e tridhjetë komunave të Kosovës. Komuna e Dragashit përfshin 36 vendbanime, me qytetin e vogël të D</w:t>
      </w:r>
      <w:r w:rsidR="00CC6120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ragashit si qendër e komunës.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Komuna kufizohet në skaje nga Malet e Sharrit në anët jugore dhe lindore, që vazhdojnë </w:t>
      </w:r>
      <w:r w:rsidR="00CC6120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shtrirjen në </w:t>
      </w:r>
      <w:r w:rsidR="00F84DE6" w:rsidRPr="00F84DE6">
        <w:rPr>
          <w:rFonts w:ascii="Times New Roman" w:hAnsi="Times New Roman" w:cs="Times New Roman"/>
          <w:sz w:val="24"/>
          <w:szCs w:val="24"/>
          <w:lang w:val="sq-AL"/>
        </w:rPr>
        <w:t>Maqedoninë</w:t>
      </w:r>
      <w:r w:rsidR="00CC6120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e Veriut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dhe Shqipëri. Ky varg malor shtrihet në verilindje-jugperëndim afërsisht 70 km në gjatësi dhe 30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>km në gjerësi, me një sipërfaqe totale rreth 1600km².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900km² (56.25%) e kësaj sipërfaqeje shtrihet në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Maqedoninë Veriore,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690 km² (43.12%) në Kosovë dhe 10 km² (0.63%) në Shqipëri. Karakteristikë specifike e Dragashit janë hapësirat e gjëra të kullotave që e ka bërë këtë zonë të përshtatshme për blegtori, bujqësi dhe produkte bujq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ësore. Vargu i Malit të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Sharrit në Kosovë ndahet në tre rajone që përfshijnë zonën turistike dhe të sportit dimëror të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Lubotenit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>/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Brezovicës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, zonën qendrore të Prizrenit dhe pjesën e Dragashit që përfshinë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Gorën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Opojën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>. 18.5% e këtij vargmali është 2000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m mbi lartësinë detare. Mali më i lartë i tërë zonës së Sharrit është Mali Korab (2764m), ndërsa maja më e lartë është Maja e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Titos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me 2747m. Në Dragash majat më të rëndësishme janë: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Koritniku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në veriperëndim në kufi me Shqipërinë (2262m), Kodra e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Karanikolles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në veriperëndim (2409m), Maje në lindje (2493m), “Kryet e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Kagit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” në veri të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Brodit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(2207m), 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Vraca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e Madhe në juglindje (2536m, maja më e lartë) dhe Kësula e Priftit në jugperëndim (2075m).</w:t>
      </w:r>
    </w:p>
    <w:p w:rsidR="00023C70" w:rsidRPr="00F84DE6" w:rsidRDefault="00023C70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Në komunën tone funksionale janë 36 objekte shkollore dhe atë 12 shkolla amë, 23 shkolla </w:t>
      </w:r>
      <w:r w:rsidR="00F84DE6" w:rsidRPr="00F84DE6">
        <w:rPr>
          <w:rFonts w:ascii="Times New Roman" w:hAnsi="Times New Roman" w:cs="Times New Roman"/>
          <w:sz w:val="24"/>
          <w:szCs w:val="24"/>
          <w:lang w:val="sq-AL"/>
        </w:rPr>
        <w:t>satelitë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, 1 shkollë e mesme e lartë. </w:t>
      </w:r>
      <w:r w:rsidR="003A5A3E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Për vitin </w:t>
      </w:r>
      <w:r w:rsidR="00F84DE6">
        <w:rPr>
          <w:rFonts w:ascii="Times New Roman" w:hAnsi="Times New Roman" w:cs="Times New Roman"/>
          <w:sz w:val="24"/>
          <w:szCs w:val="24"/>
          <w:lang w:val="sq-AL"/>
        </w:rPr>
        <w:t>shkollor 2023/24 i kemi gjithse</w:t>
      </w:r>
      <w:r w:rsidR="00F84DE6" w:rsidRPr="00F84DE6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3041 nxënës. </w:t>
      </w:r>
      <w:r w:rsidR="00F84DE6" w:rsidRPr="00F84DE6">
        <w:rPr>
          <w:rFonts w:ascii="Times New Roman" w:hAnsi="Times New Roman" w:cs="Times New Roman"/>
          <w:sz w:val="24"/>
          <w:szCs w:val="24"/>
          <w:lang w:val="sq-AL"/>
        </w:rPr>
        <w:t>Braktisjes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të shkollës për këtë vit shkollor janë gjithsej 9 nxënë</w:t>
      </w:r>
      <w:r w:rsidR="003A5A3E" w:rsidRPr="00F84DE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B011F" w:rsidRPr="00F84DE6">
        <w:rPr>
          <w:rFonts w:ascii="Times New Roman" w:hAnsi="Times New Roman" w:cs="Times New Roman"/>
          <w:sz w:val="24"/>
          <w:szCs w:val="24"/>
          <w:lang w:val="sq-AL"/>
        </w:rPr>
        <w:t>, 5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të SHFMU-së “</w:t>
      </w:r>
      <w:proofErr w:type="spellStart"/>
      <w:r w:rsidRPr="00F84DE6">
        <w:rPr>
          <w:rFonts w:ascii="Times New Roman" w:hAnsi="Times New Roman" w:cs="Times New Roman"/>
          <w:sz w:val="24"/>
          <w:szCs w:val="24"/>
          <w:lang w:val="sq-AL"/>
        </w:rPr>
        <w:t>Fetah</w:t>
      </w:r>
      <w:proofErr w:type="spellEnd"/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lastRenderedPageBreak/>
        <w:t>Sylejmani”- Dragash dhe 4 në SHML “ Ruzhdi Berisha” – Dragash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B011F" w:rsidRPr="00F84DE6">
        <w:rPr>
          <w:rFonts w:ascii="Times New Roman" w:hAnsi="Times New Roman" w:cs="Times New Roman"/>
          <w:sz w:val="24"/>
          <w:szCs w:val="24"/>
          <w:lang w:val="sq-AL"/>
        </w:rPr>
        <w:t>41</w:t>
      </w:r>
      <w:r w:rsidR="00535F59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nxënës pa njërin ose dy prind, 13 nxënës me aftësi </w:t>
      </w:r>
      <w:r w:rsidR="001B011F" w:rsidRPr="00F84DE6">
        <w:rPr>
          <w:rFonts w:ascii="Times New Roman" w:hAnsi="Times New Roman" w:cs="Times New Roman"/>
          <w:sz w:val="24"/>
          <w:szCs w:val="24"/>
          <w:lang w:val="sq-AL"/>
        </w:rPr>
        <w:t>të kufizuara, 12</w:t>
      </w:r>
      <w:r w:rsidR="00535F59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nxën</w:t>
      </w:r>
      <w:r w:rsidR="001B011F" w:rsidRPr="00F84DE6">
        <w:rPr>
          <w:rFonts w:ascii="Times New Roman" w:hAnsi="Times New Roman" w:cs="Times New Roman"/>
          <w:sz w:val="24"/>
          <w:szCs w:val="24"/>
          <w:lang w:val="sq-AL"/>
        </w:rPr>
        <w:t>ës me vështirësi në të nxënë, 22 nxënës me mungesa të shumta, me rrezik në braktisje 4 nxënës.</w:t>
      </w:r>
    </w:p>
    <w:p w:rsidR="00170AE2" w:rsidRPr="00F84DE6" w:rsidRDefault="00170AE2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>Komuna ka angazhuar kompani private për bartjen e nxënësve nga shtëpia në shkollë dhe anasjelltas, gjë e cila ka ndikuar që të ulet rrezikshmëria që nxënësit ta braktisin shkollën.</w:t>
      </w:r>
      <w:r w:rsidR="003E7C95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Gjithashtu kemi planifikuar që të angazhojmë </w:t>
      </w:r>
      <w:r w:rsidR="00F6795B">
        <w:rPr>
          <w:rFonts w:ascii="Times New Roman" w:hAnsi="Times New Roman" w:cs="Times New Roman"/>
          <w:sz w:val="24"/>
          <w:szCs w:val="24"/>
          <w:lang w:val="sq-AL"/>
        </w:rPr>
        <w:t xml:space="preserve">2 </w:t>
      </w:r>
      <w:r w:rsidR="003E7C95" w:rsidRPr="00F84DE6">
        <w:rPr>
          <w:rFonts w:ascii="Times New Roman" w:hAnsi="Times New Roman" w:cs="Times New Roman"/>
          <w:sz w:val="24"/>
          <w:szCs w:val="24"/>
          <w:lang w:val="sq-AL"/>
        </w:rPr>
        <w:t>psikolog</w:t>
      </w:r>
      <w:r w:rsidR="00F6795B">
        <w:rPr>
          <w:rFonts w:ascii="Times New Roman" w:hAnsi="Times New Roman" w:cs="Times New Roman"/>
          <w:sz w:val="24"/>
          <w:szCs w:val="24"/>
          <w:lang w:val="sq-AL"/>
        </w:rPr>
        <w:t xml:space="preserve"> (mobil)</w:t>
      </w:r>
      <w:r w:rsidR="003E7C95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0ABA" w:rsidRPr="00F84DE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F0ABA" w:rsidRPr="00F84DE6" w:rsidRDefault="00CF0ABA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>Ekipet e EPRMB-së ne nivel shkolle dhe DKA-së janë funksionale. Kemi kërkesa  për mësim jo formal</w:t>
      </w:r>
      <w:r w:rsidR="0041664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(arsim për të rritur).</w:t>
      </w:r>
    </w:p>
    <w:p w:rsidR="00363B5F" w:rsidRPr="00F84DE6" w:rsidRDefault="00416647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>Orientimi në karrierë trajtohet</w:t>
      </w:r>
      <w:r w:rsidR="00F6795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63B5F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bashkëpunimit shkollë - familje sidomos shumë i rëndësishëm roli i një psikologu/e shkollor/e</w:t>
      </w:r>
      <w:r w:rsidR="0075539A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363B5F" w:rsidRPr="00F84DE6">
        <w:rPr>
          <w:rFonts w:ascii="Times New Roman" w:hAnsi="Times New Roman" w:cs="Times New Roman"/>
          <w:sz w:val="24"/>
          <w:szCs w:val="24"/>
          <w:lang w:val="sq-AL"/>
        </w:rPr>
        <w:t>Takimet individuale me nxënës dhe prindër testimi i personalitetit të nxënësve për të kuptuar se me çfarë profesioni lidhet personaliteti i tyre. Pë</w:t>
      </w:r>
      <w:r w:rsidR="00E56067">
        <w:rPr>
          <w:rFonts w:ascii="Times New Roman" w:hAnsi="Times New Roman" w:cs="Times New Roman"/>
          <w:sz w:val="24"/>
          <w:szCs w:val="24"/>
          <w:lang w:val="sq-AL"/>
        </w:rPr>
        <w:t>rveç</w:t>
      </w:r>
      <w:r w:rsidR="00363B5F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6067">
        <w:rPr>
          <w:rFonts w:ascii="Times New Roman" w:hAnsi="Times New Roman" w:cs="Times New Roman"/>
          <w:sz w:val="24"/>
          <w:szCs w:val="24"/>
          <w:lang w:val="sq-AL"/>
        </w:rPr>
        <w:t>aktiviteteve</w:t>
      </w:r>
      <w:r w:rsidR="00363B5F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individuale të bëhen edhe aktivitete grupore ku do të diskutohet për profesione të ndryshme si dhe secili nxënës do të jetë i obliguar të prezantojë një profesion në formë të një</w:t>
      </w:r>
      <w:r w:rsidR="00447C3A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punimi seminari </w:t>
      </w:r>
      <w:r w:rsidR="00363B5F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dhe që më pas do të diskutohet </w:t>
      </w:r>
      <w:r w:rsidR="00D44467" w:rsidRPr="00F84DE6">
        <w:rPr>
          <w:rFonts w:ascii="Times New Roman" w:hAnsi="Times New Roman" w:cs="Times New Roman"/>
          <w:sz w:val="24"/>
          <w:szCs w:val="24"/>
          <w:lang w:val="sq-AL"/>
        </w:rPr>
        <w:t>bashkërisht</w:t>
      </w:r>
      <w:r w:rsidR="00363B5F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 (këshilltari i karrierës)</w:t>
      </w:r>
      <w:r w:rsidR="00D44467" w:rsidRPr="00F84DE6">
        <w:rPr>
          <w:rFonts w:ascii="Times New Roman" w:hAnsi="Times New Roman" w:cs="Times New Roman"/>
          <w:sz w:val="24"/>
          <w:szCs w:val="24"/>
          <w:lang w:val="sq-AL"/>
        </w:rPr>
        <w:t>, kujdestari i klasës 9 dhe kl.12.</w:t>
      </w:r>
    </w:p>
    <w:p w:rsidR="00A24F2A" w:rsidRPr="00F84DE6" w:rsidRDefault="00A24F2A" w:rsidP="00363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>Të bëhet rishqyrtimi i planit zhvillimor të shkollës me theks të veçantë, në organizimin dhe planifikimin e bashkëpunimit me prindër rreth orientimit profesional të nxënësve;</w:t>
      </w:r>
    </w:p>
    <w:p w:rsidR="0098436A" w:rsidRDefault="0098436A" w:rsidP="00363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Pyetësor për orientim në karrierë  për identifikimin e preferencave rreth profesioneve që </w:t>
      </w:r>
      <w:r w:rsidR="00D44467"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nxënësit </w:t>
      </w:r>
      <w:r w:rsidRPr="00F84DE6">
        <w:rPr>
          <w:rFonts w:ascii="Times New Roman" w:hAnsi="Times New Roman" w:cs="Times New Roman"/>
          <w:sz w:val="24"/>
          <w:szCs w:val="24"/>
          <w:lang w:val="sq-AL"/>
        </w:rPr>
        <w:t xml:space="preserve">pëlqejnë. </w:t>
      </w:r>
    </w:p>
    <w:p w:rsidR="00F6795B" w:rsidRPr="00F6795B" w:rsidRDefault="00F6795B" w:rsidP="00363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SHML “ Ruzhdi Berisha” – Dragash për çdo vit organizon panaire nëpër shkolla rreth profileve që i posedon shkolla </w:t>
      </w:r>
    </w:p>
    <w:p w:rsidR="00363B5F" w:rsidRPr="00363B5F" w:rsidRDefault="00363B5F" w:rsidP="00363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:rsidR="0075539A" w:rsidRPr="0075539A" w:rsidRDefault="00363B5F" w:rsidP="00363B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63B5F">
        <w:rPr>
          <w:rFonts w:ascii="Times New Roman" w:hAnsi="Times New Roman" w:cs="Times New Roman"/>
          <w:sz w:val="24"/>
          <w:szCs w:val="24"/>
          <w:highlight w:val="yellow"/>
          <w:lang w:val="sq-AL"/>
        </w:rPr>
        <w:t xml:space="preserve"> </w:t>
      </w:r>
    </w:p>
    <w:p w:rsidR="0075539A" w:rsidRP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Qëllimi i planit të punës</w:t>
      </w: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Koordinimi i veprimeve ndërinstitucionale dhe ngritja e kapaciteteve në nivel lokal dhe shkollor  në zbatim të detyrimeve ligjore për parandalim dhe reagim ndaj braktisjes dhe </w:t>
      </w:r>
      <w:proofErr w:type="spellStart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mosregjitrimit</w:t>
      </w:r>
      <w:proofErr w:type="spellEnd"/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shkollës, duke rritur përfshirjen e fëmijëve në arsim dhe zvogëlimin e braktisjes.</w:t>
      </w:r>
    </w:p>
    <w:p w:rsidR="0075539A" w:rsidRPr="0075539A" w:rsidRDefault="0075539A" w:rsidP="0075539A">
      <w:pPr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75539A">
        <w:rPr>
          <w:rFonts w:ascii="Book Antiqua" w:eastAsia="Calibri" w:hAnsi="Book Antiqua" w:cs="Times New Roman"/>
          <w:b/>
          <w:sz w:val="28"/>
          <w:szCs w:val="28"/>
          <w:lang w:val="sq-AL"/>
        </w:rPr>
        <w:t>Objektivat e Planit Komunal të Veprimit</w:t>
      </w:r>
    </w:p>
    <w:p w:rsidR="0075539A" w:rsidRPr="0075539A" w:rsidRDefault="0075539A" w:rsidP="0075539A">
      <w:pPr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 e përgjithshme I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:  Parandalimi dhe Identifikimi i hershëm i nxënësve në rrezik të braktisjes dhe ofrimi i ndërhyrjeve të duhura për t'i mbështetur ata, si këshillim, mbështetje dhe </w:t>
      </w:r>
      <w:proofErr w:type="spellStart"/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mentorim</w:t>
      </w:r>
      <w:proofErr w:type="spellEnd"/>
      <w:r w:rsidR="00E56067">
        <w:rPr>
          <w:rFonts w:ascii="Book Antiqua" w:eastAsia="Calibri" w:hAnsi="Book Antiqua" w:cs="Times New Roman"/>
          <w:sz w:val="24"/>
          <w:szCs w:val="24"/>
          <w:lang w:val="sq-AL"/>
        </w:rPr>
        <w:t>.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Objektivat specifike:</w:t>
      </w:r>
    </w:p>
    <w:p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Funksionalizimi i EPRBM</w:t>
      </w:r>
      <w:r w:rsidR="00E56067">
        <w:rPr>
          <w:rFonts w:ascii="Book Antiqua" w:eastAsia="Calibri" w:hAnsi="Book Antiqua" w:cs="Times New Roman"/>
          <w:sz w:val="24"/>
          <w:szCs w:val="24"/>
          <w:lang w:val="sq-AL"/>
        </w:rPr>
        <w:t>-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ve komunale dhe shkollore, si dhe monitorimi i vazhdueshëm i braktisjes në nivel komune;</w:t>
      </w:r>
    </w:p>
    <w:p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Koordinimi ndërinstitucional dhe me partnerë zhvillimorë në mbështetjen  e aktiviteteve të shkollave;</w:t>
      </w:r>
    </w:p>
    <w:p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Monitorimi i progresi akademik dhe </w:t>
      </w:r>
      <w:r w:rsidR="00E56067" w:rsidRPr="0075539A">
        <w:rPr>
          <w:rFonts w:ascii="Book Antiqua" w:eastAsia="Calibri" w:hAnsi="Book Antiqua" w:cs="Times New Roman"/>
          <w:sz w:val="24"/>
          <w:szCs w:val="24"/>
          <w:lang w:val="sq-AL"/>
        </w:rPr>
        <w:t>jo akademik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i nxënësve dhe t'u ofrohet atyre mbështetje kur është e nevojshme.</w:t>
      </w:r>
    </w:p>
    <w:p w:rsidR="0075539A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lastRenderedPageBreak/>
        <w:t>Objektiva e përgjithshme  II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: Ulja e  përqindjes së e braktisjes së shkollës duke krijuar një </w:t>
      </w:r>
      <w:proofErr w:type="spellStart"/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tranzicion</w:t>
      </w:r>
      <w:proofErr w:type="spellEnd"/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të lehtë nga shkolla e mesme e ulët në shkollën e mesme të lartë, bazuar në mundësitë e karrierës që përputhen me aftësitë, dhe interesat e nxënësve</w:t>
      </w:r>
      <w:r w:rsidR="00E56067">
        <w:rPr>
          <w:rFonts w:ascii="Book Antiqua" w:eastAsia="Calibri" w:hAnsi="Book Antiqua" w:cs="Times New Roman"/>
          <w:sz w:val="24"/>
          <w:szCs w:val="24"/>
          <w:lang w:val="sq-AL"/>
        </w:rPr>
        <w:t>.</w:t>
      </w:r>
    </w:p>
    <w:p w:rsidR="00E56067" w:rsidRPr="0075539A" w:rsidRDefault="00E56067" w:rsidP="00E56067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Objektivat specifike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: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2.1. </w:t>
      </w:r>
      <w:proofErr w:type="spellStart"/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U</w:t>
      </w:r>
      <w:r w:rsidR="0077206A">
        <w:rPr>
          <w:rFonts w:ascii="Book Antiqua" w:eastAsia="Calibri" w:hAnsi="Book Antiqua" w:cs="Times New Roman"/>
          <w:sz w:val="24"/>
          <w:szCs w:val="24"/>
          <w:lang w:val="sq-AL"/>
        </w:rPr>
        <w:t>rëz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imi</w:t>
      </w:r>
      <w:proofErr w:type="spellEnd"/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mes shkollës së mesme të ulët me shkollën e mesme të lartë duke filluar nga klasa e 6-të</w:t>
      </w:r>
      <w:r w:rsidR="0077206A">
        <w:rPr>
          <w:rFonts w:ascii="Book Antiqua" w:eastAsia="Calibri" w:hAnsi="Book Antiqua" w:cs="Times New Roman"/>
          <w:sz w:val="24"/>
          <w:szCs w:val="24"/>
          <w:lang w:val="sq-AL"/>
        </w:rPr>
        <w:t>.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2.2. Ndërgjegjësimi i prindërve  dhe nxënësve për </w:t>
      </w:r>
      <w:r w:rsidR="0077206A" w:rsidRPr="0075539A">
        <w:rPr>
          <w:rFonts w:ascii="Book Antiqua" w:eastAsia="Calibri" w:hAnsi="Book Antiqua" w:cs="Times New Roman"/>
          <w:sz w:val="24"/>
          <w:szCs w:val="24"/>
          <w:lang w:val="sq-AL"/>
        </w:rPr>
        <w:t>orientimin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në profile sipas kompetencave dhe interesave të fëmijës;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2.3. Krijimi i partneriteteve me bizneset lokale për të ofruar mundësi të punës praktike, programe të </w:t>
      </w:r>
      <w:r w:rsidR="0077206A" w:rsidRPr="0075539A">
        <w:rPr>
          <w:rFonts w:ascii="Book Antiqua" w:eastAsia="Calibri" w:hAnsi="Book Antiqua" w:cs="Times New Roman"/>
          <w:sz w:val="24"/>
          <w:szCs w:val="24"/>
          <w:lang w:val="sq-AL"/>
        </w:rPr>
        <w:t>monitorimit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dhe mundësi për krijimin e vendeve të punës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2.4. Monitorimi i zbatimit të planit të veprimit.</w:t>
      </w:r>
    </w:p>
    <w:p w:rsidR="0075539A" w:rsidRPr="0075539A" w:rsidRDefault="0075539A" w:rsidP="0075539A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Këto objektiva janë detajuar me aktivitete, indikatorë, afate kohore, institucione përgjegjëse dhe mbështetëse, si dhe me buxhetin e planifikuar, ashtu që lehtësisht monitorohen në faza periodike.</w:t>
      </w:r>
    </w:p>
    <w:p w:rsidR="0075539A" w:rsidRPr="0075539A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Rezultatet kryesore të pretenduara:</w:t>
      </w:r>
    </w:p>
    <w:p w:rsidR="0075539A" w:rsidRPr="0075539A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:rsidR="0075539A" w:rsidRPr="0075539A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Rritja e monitorimit dhe mbikëqyrjes nga inspektorati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Funksionalizimi i EPRMB në  Komunë dhe në të gjitha shkollat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Në fund të secilit vit pretendojmë rezultate konkrete për numrin / përqindjen e rasteve të zgjidhura 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Përgjigjja ndaj rasteve të </w:t>
      </w:r>
      <w:proofErr w:type="spellStart"/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nx</w:t>
      </w:r>
      <w:proofErr w:type="spellEnd"/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. të </w:t>
      </w:r>
      <w:r w:rsidR="0077206A"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pa notuar</w:t>
      </w: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 xml:space="preserve"> dhe me shumë mungesa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Rritja  e raportimit cilësor nga shkollat/ zvogëlimi i braktisjes</w:t>
      </w:r>
    </w:p>
    <w:p w:rsidR="0075539A" w:rsidRPr="0075539A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proofErr w:type="spellStart"/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Buxhetimi</w:t>
      </w:r>
      <w:proofErr w:type="spellEnd"/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:   </w:t>
      </w:r>
      <w:r w:rsidRPr="0075539A">
        <w:rPr>
          <w:rFonts w:ascii="Times New Roman" w:eastAsia="Calibri" w:hAnsi="Times New Roman" w:cs="Times New Roman"/>
          <w:b/>
          <w:color w:val="FF0000"/>
          <w:sz w:val="24"/>
          <w:szCs w:val="24"/>
          <w:lang w:val="sq-AL"/>
        </w:rPr>
        <w:t>( Plotësohet tutje)</w:t>
      </w:r>
    </w:p>
    <w:p w:rsidR="0075539A" w:rsidRPr="0075539A" w:rsidRDefault="0075539A" w:rsidP="0075539A">
      <w:pPr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Buxheti i paraparë në këtë plan arrin deri në </w:t>
      </w:r>
      <w:r w:rsidR="003A4B3C">
        <w:rPr>
          <w:rFonts w:ascii="Times New Roman" w:eastAsia="Calibri" w:hAnsi="Times New Roman" w:cs="Times New Roman"/>
          <w:sz w:val="24"/>
          <w:szCs w:val="24"/>
          <w:lang w:val="sq-AL"/>
        </w:rPr>
        <w:t>:</w:t>
      </w:r>
      <w:r w:rsidR="003C1E3E" w:rsidRPr="001F281A">
        <w:rPr>
          <w:rFonts w:ascii="Times New Roman" w:eastAsia="Calibri" w:hAnsi="Times New Roman" w:cs="Times New Roman"/>
          <w:sz w:val="24"/>
          <w:szCs w:val="24"/>
          <w:lang w:val="sq-AL"/>
        </w:rPr>
        <w:t>69,390.00 €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:rsidR="00E90339" w:rsidRDefault="00E90339" w:rsidP="0075539A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</w:p>
    <w:p w:rsidR="00E90339" w:rsidRDefault="00E90339" w:rsidP="0075539A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 xml:space="preserve">Monitorimi: </w:t>
      </w:r>
    </w:p>
    <w:p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  <w:sectPr w:rsidR="0075539A" w:rsidRPr="0075539A" w:rsidSect="00DA3954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D44467">
        <w:rPr>
          <w:rFonts w:ascii="Book Antiqua" w:eastAsia="Calibri" w:hAnsi="Book Antiqua" w:cs="Times New Roman"/>
          <w:sz w:val="24"/>
          <w:szCs w:val="24"/>
          <w:lang w:val="sq-AL"/>
        </w:rPr>
        <w:t>Z</w:t>
      </w:r>
      <w:r w:rsidR="00D44467" w:rsidRPr="00D44467">
        <w:rPr>
          <w:rFonts w:ascii="Book Antiqua" w:eastAsia="Calibri" w:hAnsi="Book Antiqua" w:cs="Times New Roman"/>
          <w:sz w:val="24"/>
          <w:szCs w:val="24"/>
          <w:lang w:val="sq-AL"/>
        </w:rPr>
        <w:t>batimin e këtij plani e monitoron</w:t>
      </w:r>
      <w:r w:rsidRPr="00D44467">
        <w:rPr>
          <w:rFonts w:ascii="Book Antiqua" w:eastAsia="Calibri" w:hAnsi="Book Antiqua" w:cs="Times New Roman"/>
          <w:sz w:val="24"/>
          <w:szCs w:val="24"/>
          <w:lang w:val="sq-AL"/>
        </w:rPr>
        <w:t xml:space="preserve"> EPRBM komunale, e cila bën raport vjetor mbi zbatimin e planit. Ky plan veprimi do të shoqërohet me kornizë monitoruese, e cila do ta lehtësojë procesin e monitorimit dhe raportimin në afatet e përcaktuara, gjashtëmujore dhe vjetor</w:t>
      </w:r>
    </w:p>
    <w:tbl>
      <w:tblPr>
        <w:tblW w:w="1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344"/>
        <w:gridCol w:w="2950"/>
        <w:gridCol w:w="696"/>
        <w:gridCol w:w="696"/>
        <w:gridCol w:w="703"/>
        <w:gridCol w:w="1658"/>
        <w:gridCol w:w="1783"/>
        <w:gridCol w:w="7"/>
        <w:gridCol w:w="1524"/>
      </w:tblGrid>
      <w:tr w:rsidR="0075539A" w:rsidRPr="0075539A" w:rsidTr="00F429A4">
        <w:trPr>
          <w:trHeight w:val="456"/>
        </w:trPr>
        <w:tc>
          <w:tcPr>
            <w:tcW w:w="13119" w:type="dxa"/>
            <w:gridSpan w:val="10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Objektiva e përgjithshme 1. Fuqizimi i EPRBM</w:t>
            </w:r>
            <w:r w:rsidR="00A24F2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-</w:t>
            </w: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ve për parandalim dhe identifikim të hershëm të nxënësve në rrezik të braktisjes dhe ofrimi i ndërhyrjeve të duhura për t'i mbështetur ato, si këshillim, mbështetje dhe </w:t>
            </w:r>
            <w:proofErr w:type="spellStart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mentorim</w:t>
            </w:r>
            <w:proofErr w:type="spellEnd"/>
          </w:p>
        </w:tc>
      </w:tr>
      <w:tr w:rsidR="0075539A" w:rsidRPr="0075539A" w:rsidTr="00F429A4">
        <w:trPr>
          <w:trHeight w:val="600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1.1: Funksionalizimi i EPRBM</w:t>
            </w:r>
            <w:r w:rsidR="00A24F2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-</w:t>
            </w: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ve komunale dhe shkollore, si dhe monitorimi i vazhdueshëm i braktisjes në nivel komune</w:t>
            </w:r>
          </w:p>
        </w:tc>
      </w:tr>
      <w:tr w:rsidR="00FF7372" w:rsidRPr="0075539A" w:rsidTr="00F429A4">
        <w:trPr>
          <w:trHeight w:val="800"/>
        </w:trPr>
        <w:tc>
          <w:tcPr>
            <w:tcW w:w="758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344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rPr>
          <w:trHeight w:val="521"/>
        </w:trPr>
        <w:tc>
          <w:tcPr>
            <w:tcW w:w="758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2F10E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2F10E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2F10E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1.1.1</w:t>
            </w:r>
          </w:p>
        </w:tc>
        <w:tc>
          <w:tcPr>
            <w:tcW w:w="2344" w:type="dxa"/>
            <w:shd w:val="clear" w:color="auto" w:fill="auto"/>
          </w:tcPr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Funksionalizimi i EPRBM-së komunale me takime dhe raportime të rregullta</w:t>
            </w:r>
          </w:p>
        </w:tc>
        <w:tc>
          <w:tcPr>
            <w:tcW w:w="2950" w:type="dxa"/>
            <w:shd w:val="clear" w:color="auto" w:fill="auto"/>
          </w:tcPr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Vendimi, procesverbalet, agjendat</w:t>
            </w:r>
            <w:r w:rsidR="008D0EE5"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takimet</w:t>
            </w:r>
          </w:p>
          <w:p w:rsidR="008D0EE5" w:rsidRPr="00973495" w:rsidRDefault="00C34D5F" w:rsidP="008D0EE5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</w:t>
            </w:r>
            <w:r w:rsidR="008D0EE5"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takime</w:t>
            </w:r>
          </w:p>
          <w:p w:rsidR="008D0EE5" w:rsidRPr="00973495" w:rsidRDefault="00C34D5F" w:rsidP="00DD341D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</w:t>
            </w:r>
            <w:r w:rsidR="008D0EE5"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trajnime brenda vitit</w:t>
            </w:r>
          </w:p>
          <w:p w:rsidR="008D0EE5" w:rsidRPr="00973495" w:rsidRDefault="008D0EE5" w:rsidP="00DD341D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Angazhimi i 2 ekspertëve</w:t>
            </w:r>
          </w:p>
        </w:tc>
        <w:tc>
          <w:tcPr>
            <w:tcW w:w="696" w:type="dxa"/>
            <w:shd w:val="clear" w:color="auto" w:fill="auto"/>
          </w:tcPr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973495" w:rsidRDefault="00BF313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973495" w:rsidRDefault="00BF313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973495" w:rsidRP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P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973495" w:rsidRP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Pr="00973495" w:rsidRDefault="009734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</w:t>
            </w:r>
          </w:p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97349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73495" w:rsidRPr="00973495" w:rsidRDefault="005342B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</w:p>
          <w:p w:rsidR="00BF3137" w:rsidRPr="00973495" w:rsidRDefault="00BF313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300</w:t>
            </w:r>
            <w:r w:rsid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183956" w:rsidRPr="009734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1.1.2.</w:t>
            </w:r>
          </w:p>
        </w:tc>
        <w:tc>
          <w:tcPr>
            <w:tcW w:w="2344" w:type="dxa"/>
            <w:shd w:val="clear" w:color="auto" w:fill="auto"/>
          </w:tcPr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Themelimi i EPRBM në të gjitha shkollat e arsimit </w:t>
            </w:r>
            <w:proofErr w:type="spellStart"/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parauniversitar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Vendimet e EPRBM-ve shkollore</w:t>
            </w:r>
          </w:p>
          <w:p w:rsidR="00565401" w:rsidRPr="0073727D" w:rsidRDefault="00565401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Hartimi i planit me aktivitete të specifikuara</w:t>
            </w:r>
          </w:p>
        </w:tc>
        <w:tc>
          <w:tcPr>
            <w:tcW w:w="696" w:type="dxa"/>
            <w:shd w:val="clear" w:color="auto" w:fill="auto"/>
          </w:tcPr>
          <w:p w:rsidR="0073727D" w:rsidRDefault="0073727D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73727D" w:rsidRDefault="0073727D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3727D" w:rsidRDefault="00D9378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73727D" w:rsidRDefault="0073727D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3727D" w:rsidRDefault="00D9378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73727D" w:rsidRDefault="0073727D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73727D" w:rsidRDefault="0073727D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727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73727D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93782" w:rsidRPr="0073727D" w:rsidRDefault="0073727D" w:rsidP="00D1102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D1102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1.1.3</w:t>
            </w:r>
          </w:p>
        </w:tc>
        <w:tc>
          <w:tcPr>
            <w:tcW w:w="2344" w:type="dxa"/>
            <w:shd w:val="clear" w:color="auto" w:fill="auto"/>
          </w:tcPr>
          <w:p w:rsidR="0075539A" w:rsidRPr="00985F1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Seanca mbështetëse për EPRBM-në komunale</w:t>
            </w:r>
          </w:p>
        </w:tc>
        <w:tc>
          <w:tcPr>
            <w:tcW w:w="2950" w:type="dxa"/>
            <w:shd w:val="clear" w:color="auto" w:fill="auto"/>
          </w:tcPr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Agjendat, listat e pjesëmarrjes</w:t>
            </w:r>
          </w:p>
          <w:p w:rsidR="00792757" w:rsidRPr="00792757" w:rsidRDefault="0028451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</w:t>
            </w:r>
            <w:r w:rsidR="00792757"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takime mbështetëse</w:t>
            </w:r>
          </w:p>
        </w:tc>
        <w:tc>
          <w:tcPr>
            <w:tcW w:w="696" w:type="dxa"/>
            <w:shd w:val="clear" w:color="auto" w:fill="auto"/>
          </w:tcPr>
          <w:p w:rsidR="00792757" w:rsidRP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792757" w:rsidRP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792757" w:rsidRP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D4446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792757" w:rsidRP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792757" w:rsidRP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53E19" w:rsidRPr="00985F11" w:rsidRDefault="00553E19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985F11" w:rsidRDefault="004C6EB9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D1102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  <w:r w:rsidR="00A138B5" w:rsidRPr="00D1102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00.00 €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1.1.4</w:t>
            </w:r>
          </w:p>
        </w:tc>
        <w:tc>
          <w:tcPr>
            <w:tcW w:w="2344" w:type="dxa"/>
            <w:shd w:val="clear" w:color="auto" w:fill="auto"/>
          </w:tcPr>
          <w:p w:rsidR="0075539A" w:rsidRPr="00985F1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Seanca mbështetëse për EPRBM-të shkollore</w:t>
            </w:r>
          </w:p>
        </w:tc>
        <w:tc>
          <w:tcPr>
            <w:tcW w:w="2950" w:type="dxa"/>
            <w:shd w:val="clear" w:color="auto" w:fill="auto"/>
          </w:tcPr>
          <w:p w:rsidR="0075539A" w:rsidRPr="00985F11" w:rsidRDefault="0075539A" w:rsidP="00792757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Agjendat, listat e pjesëmarrjes</w:t>
            </w:r>
            <w:r w:rsid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, certifikatat </w:t>
            </w:r>
          </w:p>
        </w:tc>
        <w:tc>
          <w:tcPr>
            <w:tcW w:w="696" w:type="dxa"/>
            <w:shd w:val="clear" w:color="auto" w:fill="auto"/>
          </w:tcPr>
          <w:p w:rsid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302C2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985F1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792757" w:rsidRDefault="00792757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92757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75539A" w:rsidRPr="00985F1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985F1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9A7426" w:rsidRPr="00985F11" w:rsidRDefault="009A7426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</w:t>
            </w:r>
            <w:r w:rsidR="000F024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</w:t>
            </w: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440</w:t>
            </w:r>
            <w:r w:rsidR="000F024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1.1.5.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A150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Asistimi i EPRBM-ve shkollore për përdorimin</w:t>
            </w:r>
            <w:r w:rsidR="00B425F1" w:rsidRPr="00BA150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Pr="00BA150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  SPH-së</w:t>
            </w:r>
          </w:p>
        </w:tc>
        <w:tc>
          <w:tcPr>
            <w:tcW w:w="2950" w:type="dxa"/>
            <w:shd w:val="clear" w:color="auto" w:fill="auto"/>
          </w:tcPr>
          <w:p w:rsidR="00BA150A" w:rsidRDefault="00B425F1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A150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takimeve, </w:t>
            </w:r>
            <w:r w:rsidR="0075539A" w:rsidRPr="00BA150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shkollave përfituese</w:t>
            </w:r>
          </w:p>
          <w:p w:rsidR="00BA150A" w:rsidRPr="00BA150A" w:rsidRDefault="00BA150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Caktimi i nr</w:t>
            </w:r>
            <w:r w:rsidR="00660A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të takimeve në mbështetje për SPH</w:t>
            </w:r>
          </w:p>
        </w:tc>
        <w:tc>
          <w:tcPr>
            <w:tcW w:w="696" w:type="dxa"/>
            <w:shd w:val="clear" w:color="auto" w:fill="auto"/>
          </w:tcPr>
          <w:p w:rsidR="00660ACF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660ACF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0A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660ACF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660ACF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0A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660ACF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660ACF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660ACF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660A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660ACF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660ACF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60A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543E86" w:rsidRPr="0075539A" w:rsidRDefault="00660ACF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927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4D719E" w:rsidRDefault="004D719E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75539A" w:rsidRDefault="003D3017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D719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1,500.00 </w:t>
            </w:r>
            <w:r w:rsidR="004272D1" w:rsidRPr="004D719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8548E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1.1.6.</w:t>
            </w:r>
          </w:p>
        </w:tc>
        <w:tc>
          <w:tcPr>
            <w:tcW w:w="2344" w:type="dxa"/>
            <w:shd w:val="clear" w:color="auto" w:fill="auto"/>
          </w:tcPr>
          <w:p w:rsidR="0075539A" w:rsidRPr="008548EB" w:rsidRDefault="006A248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Transporti i nxënësve</w:t>
            </w:r>
          </w:p>
          <w:p w:rsidR="006A2480" w:rsidRPr="008548EB" w:rsidRDefault="006A248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Nga shtëpia në shkollë dhe anasjelltas</w:t>
            </w:r>
          </w:p>
        </w:tc>
        <w:tc>
          <w:tcPr>
            <w:tcW w:w="2950" w:type="dxa"/>
            <w:shd w:val="clear" w:color="auto" w:fill="auto"/>
          </w:tcPr>
          <w:p w:rsidR="0075539A" w:rsidRPr="008548EB" w:rsidRDefault="009B28A0" w:rsidP="009B28A0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Lisa e nxënësve</w:t>
            </w:r>
          </w:p>
          <w:p w:rsidR="009B28A0" w:rsidRPr="008548EB" w:rsidRDefault="009B28A0" w:rsidP="009B28A0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Raportet për transportin e nxënësve</w:t>
            </w:r>
          </w:p>
        </w:tc>
        <w:tc>
          <w:tcPr>
            <w:tcW w:w="696" w:type="dxa"/>
            <w:shd w:val="clear" w:color="auto" w:fill="auto"/>
          </w:tcPr>
          <w:p w:rsidR="00AE285C" w:rsidRPr="008548EB" w:rsidRDefault="00AE285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8548EB" w:rsidRDefault="003A4B3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AE285C" w:rsidRPr="008548EB" w:rsidRDefault="00AE285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8548EB" w:rsidRDefault="003A4B3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AE285C" w:rsidRPr="008548EB" w:rsidRDefault="00AE285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8548EB" w:rsidRDefault="003A4B3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AE285C" w:rsidRPr="008548EB" w:rsidRDefault="00AE285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8548EB" w:rsidRDefault="003A4B3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AE285C" w:rsidRPr="008548EB" w:rsidRDefault="00AE285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D74C0" w:rsidRPr="008548EB" w:rsidRDefault="009D74C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</w:t>
            </w:r>
          </w:p>
          <w:p w:rsidR="0075539A" w:rsidRPr="008548EB" w:rsidRDefault="009D74C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548E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9D74C0" w:rsidRPr="008548EB" w:rsidRDefault="009D74C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AE285C" w:rsidRPr="008548EB" w:rsidRDefault="00AE285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1B358D" w:rsidRPr="008548EB" w:rsidRDefault="00A1622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42,000.00 </w:t>
            </w:r>
            <w:r w:rsidR="009D74C0" w:rsidRPr="0029282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  <w:p w:rsidR="000D114D" w:rsidRPr="008548EB" w:rsidRDefault="000D114D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A4B3C" w:rsidRPr="009326E1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1.1.7</w:t>
            </w:r>
          </w:p>
        </w:tc>
        <w:tc>
          <w:tcPr>
            <w:tcW w:w="2344" w:type="dxa"/>
            <w:shd w:val="clear" w:color="auto" w:fill="auto"/>
          </w:tcPr>
          <w:p w:rsidR="003A4B3C" w:rsidRPr="009326E1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Angazhimi i psikologëve</w:t>
            </w:r>
          </w:p>
        </w:tc>
        <w:tc>
          <w:tcPr>
            <w:tcW w:w="2950" w:type="dxa"/>
            <w:shd w:val="clear" w:color="auto" w:fill="auto"/>
          </w:tcPr>
          <w:p w:rsidR="009B28A0" w:rsidRPr="009326E1" w:rsidRDefault="009B28A0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takimeve, </w:t>
            </w:r>
          </w:p>
          <w:p w:rsidR="009B28A0" w:rsidRPr="009326E1" w:rsidRDefault="009B28A0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 nxënës</w:t>
            </w:r>
          </w:p>
          <w:p w:rsidR="003A4B3C" w:rsidRPr="009326E1" w:rsidRDefault="009B28A0" w:rsidP="009B28A0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Me prind </w:t>
            </w:r>
          </w:p>
        </w:tc>
        <w:tc>
          <w:tcPr>
            <w:tcW w:w="696" w:type="dxa"/>
            <w:shd w:val="clear" w:color="auto" w:fill="auto"/>
          </w:tcPr>
          <w:p w:rsidR="003A4B3C" w:rsidRPr="009326E1" w:rsidRDefault="003A4B3C" w:rsidP="003A4B3C"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3A4B3C" w:rsidRPr="009326E1" w:rsidRDefault="003A4B3C" w:rsidP="003A4B3C"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3A4B3C" w:rsidRPr="009326E1" w:rsidRDefault="003A4B3C" w:rsidP="003A4B3C"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A4B3C" w:rsidRPr="009326E1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3A4B3C" w:rsidRPr="009326E1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9B28A0" w:rsidRPr="009326E1" w:rsidRDefault="009B28A0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A4B3C" w:rsidRPr="009326E1" w:rsidRDefault="000F536A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960</w:t>
            </w:r>
            <w:r w:rsid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F75AFB" w:rsidRPr="009326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A4B3C" w:rsidRPr="00D013BE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1.1.8</w:t>
            </w:r>
          </w:p>
        </w:tc>
        <w:tc>
          <w:tcPr>
            <w:tcW w:w="2344" w:type="dxa"/>
            <w:shd w:val="clear" w:color="auto" w:fill="auto"/>
          </w:tcPr>
          <w:p w:rsidR="003A4B3C" w:rsidRPr="00D013BE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Fëmijëri e hershme</w:t>
            </w:r>
          </w:p>
          <w:p w:rsidR="003A4B3C" w:rsidRPr="00D013BE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( QBK )</w:t>
            </w:r>
          </w:p>
        </w:tc>
        <w:tc>
          <w:tcPr>
            <w:tcW w:w="2950" w:type="dxa"/>
            <w:shd w:val="clear" w:color="auto" w:fill="auto"/>
          </w:tcPr>
          <w:p w:rsidR="003A4B3C" w:rsidRPr="00D013BE" w:rsidRDefault="000F536A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Angazhimi i edukatorëve që janë</w:t>
            </w:r>
          </w:p>
        </w:tc>
        <w:tc>
          <w:tcPr>
            <w:tcW w:w="696" w:type="dxa"/>
            <w:shd w:val="clear" w:color="auto" w:fill="auto"/>
          </w:tcPr>
          <w:p w:rsidR="003A4B3C" w:rsidRPr="00D013BE" w:rsidRDefault="003A4B3C" w:rsidP="003A4B3C"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3A4B3C" w:rsidRPr="00D013BE" w:rsidRDefault="003A4B3C" w:rsidP="003A4B3C"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3A4B3C" w:rsidRPr="00D013BE" w:rsidRDefault="003A4B3C" w:rsidP="003A4B3C"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A4B3C" w:rsidRPr="00D013BE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3A4B3C" w:rsidRPr="00D013BE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A4B3C" w:rsidRPr="00D013BE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A4B3C" w:rsidRPr="00D013BE" w:rsidRDefault="000F536A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013B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A4B3C" w:rsidRPr="0020521C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highlight w:val="green"/>
                <w:lang w:val="sq-AL"/>
              </w:rPr>
            </w:pPr>
            <w:r w:rsidRPr="003F5B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1.1.9</w:t>
            </w:r>
          </w:p>
        </w:tc>
        <w:tc>
          <w:tcPr>
            <w:tcW w:w="2344" w:type="dxa"/>
            <w:shd w:val="clear" w:color="auto" w:fill="auto"/>
          </w:tcPr>
          <w:p w:rsidR="003A4B3C" w:rsidRPr="00AE285C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Trajnimi i mësimdhënësve për PIA</w:t>
            </w:r>
          </w:p>
          <w:p w:rsidR="006F19E1" w:rsidRPr="00AE285C" w:rsidRDefault="006F19E1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6F19E1" w:rsidRPr="00AE285C" w:rsidRDefault="006F19E1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shd w:val="clear" w:color="auto" w:fill="auto"/>
          </w:tcPr>
          <w:p w:rsidR="003F5BD8" w:rsidRDefault="003F5BD8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A4B3C" w:rsidRPr="00AE285C" w:rsidRDefault="003F5BD8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</w:t>
            </w:r>
            <w:proofErr w:type="spellEnd"/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i takimeve, </w:t>
            </w:r>
            <w:proofErr w:type="spellStart"/>
            <w:r w:rsid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</w:t>
            </w:r>
            <w:r w:rsidR="00F75AFB"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</w:t>
            </w:r>
            <w:proofErr w:type="spellEnd"/>
            <w:r w:rsidR="00F75AFB"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mësimdhënësve</w:t>
            </w:r>
          </w:p>
          <w:p w:rsidR="00F75AFB" w:rsidRPr="00AE285C" w:rsidRDefault="00F75AFB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auto"/>
          </w:tcPr>
          <w:p w:rsidR="003F5BD8" w:rsidRDefault="003F5BD8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A4B3C" w:rsidRPr="00AE285C" w:rsidRDefault="003A4B3C" w:rsidP="003A4B3C"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3F5BD8" w:rsidRDefault="003F5BD8" w:rsidP="003A4B3C"/>
          <w:p w:rsidR="003A4B3C" w:rsidRPr="00AE285C" w:rsidRDefault="00B80ED7" w:rsidP="003A4B3C">
            <w:r w:rsidRPr="00AE285C">
              <w:t>x</w:t>
            </w:r>
          </w:p>
        </w:tc>
        <w:tc>
          <w:tcPr>
            <w:tcW w:w="703" w:type="dxa"/>
            <w:shd w:val="clear" w:color="auto" w:fill="auto"/>
          </w:tcPr>
          <w:p w:rsidR="003F5BD8" w:rsidRDefault="003F5BD8" w:rsidP="003A4B3C"/>
          <w:p w:rsidR="003A4B3C" w:rsidRPr="00AE285C" w:rsidRDefault="00B80ED7" w:rsidP="003A4B3C">
            <w:r w:rsidRPr="00AE285C">
              <w:t>x</w:t>
            </w:r>
          </w:p>
        </w:tc>
        <w:tc>
          <w:tcPr>
            <w:tcW w:w="1658" w:type="dxa"/>
            <w:shd w:val="clear" w:color="auto" w:fill="auto"/>
          </w:tcPr>
          <w:p w:rsidR="003F5BD8" w:rsidRDefault="003F5BD8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A4B3C" w:rsidRPr="00AE285C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3F5BD8" w:rsidRDefault="003F5BD8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A4B3C" w:rsidRPr="00AE285C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A4B3C" w:rsidRPr="00AE285C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A4B3C" w:rsidRPr="00AE285C" w:rsidRDefault="003A4B3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9359DC" w:rsidRPr="00AE285C" w:rsidRDefault="009359DC" w:rsidP="003A4B3C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</w:t>
            </w:r>
            <w:r w:rsidR="003F5B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</w:t>
            </w: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500</w:t>
            </w:r>
            <w:r w:rsidR="0061709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AE285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75539A" w:rsidRPr="0075539A" w:rsidTr="00F429A4">
        <w:trPr>
          <w:trHeight w:val="528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Objektiva specifike 1.2:   Koordinimi ndërinstitucional dhe me partnerë zhvillimorë në mbështetjen  e aktiviteteve të shkollave dhe nxënësve në nevojë</w:t>
            </w:r>
          </w:p>
        </w:tc>
      </w:tr>
      <w:tr w:rsidR="00FF7372" w:rsidRPr="0075539A" w:rsidTr="00F429A4">
        <w:trPr>
          <w:trHeight w:val="540"/>
        </w:trPr>
        <w:tc>
          <w:tcPr>
            <w:tcW w:w="758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F7372" w:rsidRPr="0075539A" w:rsidTr="00F429A4">
        <w:tc>
          <w:tcPr>
            <w:tcW w:w="758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ED53B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ED53B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ED53B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1.2.1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shd w:val="clear" w:color="auto" w:fill="auto"/>
          </w:tcPr>
          <w:p w:rsidR="0075539A" w:rsidRPr="0075539A" w:rsidRDefault="001220E9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koordinu</w:t>
            </w:r>
            <w:r w:rsidR="0075539A" w:rsidRPr="0020521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es me partnerë</w:t>
            </w:r>
          </w:p>
        </w:tc>
        <w:tc>
          <w:tcPr>
            <w:tcW w:w="2950" w:type="dxa"/>
            <w:shd w:val="clear" w:color="auto" w:fill="auto"/>
          </w:tcPr>
          <w:p w:rsidR="0075539A" w:rsidRPr="0020521C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0521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takimeve, 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20521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rezultatet</w:t>
            </w:r>
          </w:p>
        </w:tc>
        <w:tc>
          <w:tcPr>
            <w:tcW w:w="696" w:type="dxa"/>
            <w:shd w:val="clear" w:color="auto" w:fill="auto"/>
          </w:tcPr>
          <w:p w:rsidR="00004425" w:rsidRPr="00004425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0442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442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004425" w:rsidRPr="00004425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0442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442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004425" w:rsidRPr="00004425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0442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442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004425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0442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75539A" w:rsidRPr="00004425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442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0442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75539A" w:rsidRDefault="009359DC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65C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200</w:t>
            </w:r>
            <w:r w:rsidR="00B65C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B65C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1.2.2</w:t>
            </w:r>
          </w:p>
        </w:tc>
        <w:tc>
          <w:tcPr>
            <w:tcW w:w="2344" w:type="dxa"/>
            <w:shd w:val="clear" w:color="auto" w:fill="auto"/>
          </w:tcPr>
          <w:p w:rsidR="003653ED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Zhvillimi i projekteve  ndër</w:t>
            </w:r>
            <w:r w:rsidR="00F47B4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sektoriale në parandalim të dukurive negative që e sfidojnë vijimin e rregullt të  shkollës të gupeve </w:t>
            </w: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të c</w:t>
            </w:r>
            <w:r w:rsidR="00D168B3"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aktuara të nx</w:t>
            </w: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ënësve </w:t>
            </w:r>
          </w:p>
        </w:tc>
        <w:tc>
          <w:tcPr>
            <w:tcW w:w="2950" w:type="dxa"/>
            <w:shd w:val="clear" w:color="auto" w:fill="auto"/>
          </w:tcPr>
          <w:p w:rsidR="0075539A" w:rsidRPr="00042E52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 xml:space="preserve">Nr. i projekteve, aktiviteteve </w:t>
            </w:r>
            <w:proofErr w:type="spellStart"/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ndërgjegjësuese</w:t>
            </w:r>
            <w:proofErr w:type="spellEnd"/>
            <w:r w:rsidR="00004425"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(3)</w:t>
            </w:r>
          </w:p>
          <w:p w:rsidR="0075539A" w:rsidRPr="00042E52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shkollave përfituese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nxënësve për fitues</w:t>
            </w:r>
          </w:p>
        </w:tc>
        <w:tc>
          <w:tcPr>
            <w:tcW w:w="696" w:type="dxa"/>
            <w:shd w:val="clear" w:color="auto" w:fill="auto"/>
          </w:tcPr>
          <w:p w:rsidR="00004425" w:rsidRPr="00042E52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42E52" w:rsidRDefault="00734CA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004425" w:rsidRPr="00042E52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42E52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004425" w:rsidRPr="00042E52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42E52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004425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75539A" w:rsidRPr="00042E52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Drejtoritë tjera komunale</w:t>
            </w:r>
          </w:p>
          <w:p w:rsidR="0075539A" w:rsidRPr="00042E52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  <w:p w:rsidR="00004425" w:rsidRPr="00042E52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2B54CE" w:rsidRPr="00042E52" w:rsidRDefault="002B54C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Policia e Kosovës </w:t>
            </w:r>
          </w:p>
          <w:p w:rsidR="002B54CE" w:rsidRPr="00042E52" w:rsidRDefault="002B54C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FSK</w:t>
            </w:r>
          </w:p>
          <w:p w:rsidR="00004425" w:rsidRPr="0075539A" w:rsidRDefault="00004425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Zyra për komunitet dhe kthim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2013A6" w:rsidRDefault="002013A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C15BE1" w:rsidRPr="0075539A" w:rsidRDefault="00C15BE1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A173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200</w:t>
            </w:r>
            <w:r w:rsidR="004A173C" w:rsidRPr="004A173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4A173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1.2.3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06E7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Mbështetja e nxënësve me bursa dhe stimuj të tjerë (shpërblime) për  motivimin e shkollimit të qëndrueshëm.</w:t>
            </w:r>
          </w:p>
        </w:tc>
        <w:tc>
          <w:tcPr>
            <w:tcW w:w="2950" w:type="dxa"/>
            <w:shd w:val="clear" w:color="auto" w:fill="auto"/>
          </w:tcPr>
          <w:p w:rsidR="0075539A" w:rsidRPr="00706E7E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06E7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bursave</w:t>
            </w:r>
          </w:p>
          <w:p w:rsidR="0075539A" w:rsidRPr="00FB579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nxënësve përfitues</w:t>
            </w:r>
            <w:r w:rsidR="00FB5791"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që kanë nevojë për përkrahje dhe që janë në rrezik të braktisjes duke e llogaritë edhe largësinë nga shkolla</w:t>
            </w:r>
          </w:p>
          <w:p w:rsidR="00FB5791" w:rsidRPr="0075539A" w:rsidRDefault="00FB5791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Paketa mbështetëse </w:t>
            </w:r>
          </w:p>
        </w:tc>
        <w:tc>
          <w:tcPr>
            <w:tcW w:w="696" w:type="dxa"/>
            <w:shd w:val="clear" w:color="auto" w:fill="auto"/>
          </w:tcPr>
          <w:p w:rsidR="00706E7E" w:rsidRPr="00FB5791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06E7E" w:rsidRPr="00FB5791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FB579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706E7E" w:rsidRPr="00FB5791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06E7E" w:rsidRPr="00FB5791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FB579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706E7E" w:rsidRPr="00FB5791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06E7E" w:rsidRPr="00FB5791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FB579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706E7E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06E7E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FB579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B579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FB5791" w:rsidRPr="00042E52" w:rsidRDefault="00FB5791" w:rsidP="00FB579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42E5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  <w:p w:rsidR="00706E7E" w:rsidRPr="009F2D7D" w:rsidRDefault="009F2D7D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</w:pPr>
            <w:r w:rsidRPr="00087FF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Kuvendi</w:t>
            </w:r>
            <w:r w:rsidRPr="009F2D7D"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  <w:t xml:space="preserve"> </w:t>
            </w:r>
            <w:r w:rsidRPr="00087FF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Komunal</w:t>
            </w:r>
          </w:p>
          <w:p w:rsidR="0075539A" w:rsidRPr="00087FF8" w:rsidRDefault="007816F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87FF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</w:t>
            </w:r>
          </w:p>
          <w:p w:rsidR="007816F9" w:rsidRPr="0075539A" w:rsidRDefault="007816F9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87FF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06E7E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06E7E" w:rsidRDefault="00706E7E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0C7351" w:rsidRDefault="00771A9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C73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  <w:r w:rsidR="00B56EB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</w:t>
            </w:r>
            <w:r w:rsidR="00AC5609" w:rsidRPr="000C73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000</w:t>
            </w:r>
            <w:r w:rsidR="00B56EB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="00AC5609" w:rsidRPr="000C73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  <w:p w:rsidR="005F3D2B" w:rsidRPr="0075539A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261D8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1.2.4</w:t>
            </w:r>
            <w:r w:rsidR="0075539A"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261D80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Pagesa e transportit pë</w:t>
            </w:r>
            <w:r w:rsidR="005F3D2B"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r </w:t>
            </w:r>
            <w:proofErr w:type="spellStart"/>
            <w:r w:rsidR="005F3D2B"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fnva</w:t>
            </w:r>
            <w:proofErr w:type="spellEnd"/>
            <w:r w:rsidR="005F3D2B"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në QB - PZ</w:t>
            </w:r>
          </w:p>
        </w:tc>
        <w:tc>
          <w:tcPr>
            <w:tcW w:w="2950" w:type="dxa"/>
            <w:shd w:val="clear" w:color="auto" w:fill="auto"/>
          </w:tcPr>
          <w:p w:rsidR="0075539A" w:rsidRPr="0075539A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nxënësve përfitues</w:t>
            </w:r>
          </w:p>
        </w:tc>
        <w:tc>
          <w:tcPr>
            <w:tcW w:w="696" w:type="dxa"/>
            <w:shd w:val="clear" w:color="auto" w:fill="auto"/>
          </w:tcPr>
          <w:p w:rsidR="0075539A" w:rsidRPr="00261D80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75539A" w:rsidRPr="00261D80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75539A" w:rsidRPr="00261D80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75539A" w:rsidRPr="00261D80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75539A" w:rsidRPr="00261D80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Komuna</w:t>
            </w:r>
          </w:p>
          <w:p w:rsidR="005F3D2B" w:rsidRPr="00261D80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61D8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5F3D2B" w:rsidRDefault="005F3D2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E941E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  <w:r w:rsidR="00261D80" w:rsidRPr="00E941E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</w:t>
            </w:r>
            <w:r w:rsidRPr="00E941E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350</w:t>
            </w:r>
            <w:r w:rsidR="00261D80" w:rsidRPr="00E941E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E941E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75539A" w:rsidRPr="0075539A" w:rsidTr="00F429A4">
        <w:trPr>
          <w:trHeight w:val="468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Objektiva specifike 1.3: Monitorimi i progresi akademik dhe </w:t>
            </w:r>
            <w:proofErr w:type="spellStart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joakademik</w:t>
            </w:r>
            <w:proofErr w:type="spellEnd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 i nxënësve dhe t'u ofrohet atyre mbështetje kur është e nevojshme.</w:t>
            </w:r>
          </w:p>
        </w:tc>
      </w:tr>
      <w:tr w:rsidR="00FF7372" w:rsidRPr="0075539A" w:rsidTr="00F429A4">
        <w:trPr>
          <w:trHeight w:val="421"/>
        </w:trPr>
        <w:tc>
          <w:tcPr>
            <w:tcW w:w="758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F7372" w:rsidRPr="0075539A" w:rsidTr="00F429A4">
        <w:trPr>
          <w:trHeight w:val="432"/>
        </w:trPr>
        <w:tc>
          <w:tcPr>
            <w:tcW w:w="758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ED4203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ED4203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ED4203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1.3.1.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Zhvillimi i një sistemi të regjistrit </w:t>
            </w:r>
            <w:proofErr w:type="spellStart"/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kumulativ</w:t>
            </w:r>
            <w:proofErr w:type="spellEnd"/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 për </w:t>
            </w: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lastRenderedPageBreak/>
              <w:t>nxënësit e klasave 6-9</w:t>
            </w:r>
          </w:p>
        </w:tc>
        <w:tc>
          <w:tcPr>
            <w:tcW w:w="2950" w:type="dxa"/>
            <w:shd w:val="clear" w:color="auto" w:fill="auto"/>
          </w:tcPr>
          <w:p w:rsidR="0075539A" w:rsidRPr="000726DF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726D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Regjistri i zhvilluar.</w:t>
            </w: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726D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Evidencat </w:t>
            </w:r>
          </w:p>
        </w:tc>
        <w:tc>
          <w:tcPr>
            <w:tcW w:w="696" w:type="dxa"/>
            <w:shd w:val="clear" w:color="auto" w:fill="auto"/>
          </w:tcPr>
          <w:p w:rsidR="000726DF" w:rsidRPr="000726DF" w:rsidRDefault="000726D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726DF" w:rsidRDefault="00F873A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0726DF" w:rsidRPr="000726DF" w:rsidRDefault="000726D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726DF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726D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0726DF" w:rsidRPr="000726DF" w:rsidRDefault="000726DF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0726DF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726D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0726DF" w:rsidRPr="00070671" w:rsidRDefault="000726DF" w:rsidP="000726DF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706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DA3954" w:rsidRPr="0007067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706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DA3954" w:rsidRPr="00DA3954" w:rsidRDefault="00F873A3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F873A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Shkollat</w:t>
            </w:r>
          </w:p>
        </w:tc>
        <w:tc>
          <w:tcPr>
            <w:tcW w:w="1783" w:type="dxa"/>
            <w:shd w:val="clear" w:color="auto" w:fill="auto"/>
          </w:tcPr>
          <w:p w:rsidR="00070671" w:rsidRDefault="00070671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706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070671" w:rsidRPr="00DA3954" w:rsidRDefault="00055B00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1.3.2.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Sigurimi i trajnimeve për mësuesit dhe administratorë</w:t>
            </w:r>
            <w:r w:rsidR="00DA3954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t</w:t>
            </w: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 e shkollave se si të mirëmbajnë dhe përdorin sistemin e regjistrit </w:t>
            </w:r>
            <w:proofErr w:type="spellStart"/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kumulativ</w:t>
            </w:r>
            <w:proofErr w:type="spellEnd"/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;</w:t>
            </w:r>
          </w:p>
        </w:tc>
        <w:tc>
          <w:tcPr>
            <w:tcW w:w="2950" w:type="dxa"/>
            <w:shd w:val="clear" w:color="auto" w:fill="auto"/>
          </w:tcPr>
          <w:p w:rsid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946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Trajnimet e zhvilluara</w:t>
            </w:r>
          </w:p>
        </w:tc>
        <w:tc>
          <w:tcPr>
            <w:tcW w:w="696" w:type="dxa"/>
            <w:shd w:val="clear" w:color="auto" w:fill="auto"/>
          </w:tcPr>
          <w:p w:rsidR="0075539A" w:rsidRPr="00494686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94686" w:rsidRP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94686" w:rsidRP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946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494686" w:rsidRP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94686" w:rsidRP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94686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946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494686" w:rsidRP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94686" w:rsidRPr="00494686" w:rsidRDefault="0049468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94686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9468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F873A3" w:rsidRDefault="00F873A3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DA3954" w:rsidRPr="00F873A3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873A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F873A3" w:rsidRPr="00070671" w:rsidRDefault="00F873A3" w:rsidP="00F873A3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706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F873A3" w:rsidRDefault="00F873A3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F873A3" w:rsidRDefault="00F873A3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B5698" w:rsidRPr="00DA3954" w:rsidRDefault="003B5698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A41B4" w:rsidRDefault="007A41B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A41B4" w:rsidRDefault="007A41B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A41B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7A41B4" w:rsidRDefault="007A41B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AC7951" w:rsidRPr="00DA3954" w:rsidRDefault="00C34EA0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A173C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200.00 €</w:t>
            </w: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1.3.3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Takimet e rregullta me prindërit, mësuesit dhe administratorët e shkollave për të rishikuar përparimin akademik dhe </w:t>
            </w:r>
            <w:r w:rsidR="00490E5A"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jo akademik</w:t>
            </w: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 të nxënësve</w:t>
            </w:r>
          </w:p>
        </w:tc>
        <w:tc>
          <w:tcPr>
            <w:tcW w:w="2950" w:type="dxa"/>
            <w:shd w:val="clear" w:color="auto" w:fill="auto"/>
          </w:tcPr>
          <w:p w:rsidR="00FF7372" w:rsidRDefault="00FF737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FF7372" w:rsidRDefault="00FF737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FF7372" w:rsidRPr="00FF7372" w:rsidRDefault="00FF7372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F737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Takimet e realizuara</w:t>
            </w:r>
          </w:p>
          <w:p w:rsidR="00DA52FD" w:rsidRPr="00DA3954" w:rsidRDefault="00DA52FD" w:rsidP="00490E5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696" w:type="dxa"/>
            <w:shd w:val="clear" w:color="auto" w:fill="auto"/>
          </w:tcPr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560F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560F4B" w:rsidRP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60F4B" w:rsidRP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560F4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60F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560F4B" w:rsidRP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60F4B" w:rsidRP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560F4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60F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560F4B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60F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560F4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60F4B" w:rsidRDefault="00560F4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573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203AC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240</w:t>
            </w:r>
            <w:r w:rsidR="00203AC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203AC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1.3.4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Sigurimi i fondeve për aktivitet</w:t>
            </w:r>
            <w:r w:rsidR="00DA3954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e</w:t>
            </w: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t mbështetëse për nxënësit që kanë vështirësi akademike ose personale;  </w:t>
            </w:r>
          </w:p>
        </w:tc>
        <w:tc>
          <w:tcPr>
            <w:tcW w:w="2950" w:type="dxa"/>
            <w:shd w:val="clear" w:color="auto" w:fill="auto"/>
          </w:tcPr>
          <w:p w:rsid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F14798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Buxheti i ndarë</w:t>
            </w:r>
          </w:p>
          <w:p w:rsidR="00043AD4" w:rsidRPr="00A475C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Aktivitete e realizuara</w:t>
            </w:r>
            <w:r w:rsidR="00043AD4"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mësim plotësues</w:t>
            </w:r>
          </w:p>
        </w:tc>
        <w:tc>
          <w:tcPr>
            <w:tcW w:w="696" w:type="dxa"/>
            <w:shd w:val="clear" w:color="auto" w:fill="auto"/>
          </w:tcPr>
          <w:p w:rsidR="0075539A" w:rsidRPr="00F1479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14798" w:rsidRP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14798" w:rsidRP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F14798" w:rsidRP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14798" w:rsidRP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F14798" w:rsidRDefault="00043AD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F14798" w:rsidRP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14798" w:rsidRP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F1479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F14798" w:rsidRDefault="00F14798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F14798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F1479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783" w:type="dxa"/>
            <w:shd w:val="clear" w:color="auto" w:fill="auto"/>
          </w:tcPr>
          <w:p w:rsidR="00405D18" w:rsidRDefault="00405D18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405D18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05D1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05D1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MEF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405D18" w:rsidRDefault="00405D18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05D18" w:rsidRDefault="00405D18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203AC1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203AC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700.00 </w:t>
            </w:r>
            <w:r w:rsidR="00043AD4" w:rsidRPr="00203AC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1.3.5.</w:t>
            </w:r>
          </w:p>
        </w:tc>
        <w:tc>
          <w:tcPr>
            <w:tcW w:w="2344" w:type="dxa"/>
            <w:shd w:val="clear" w:color="auto" w:fill="auto"/>
          </w:tcPr>
          <w:p w:rsidR="0075539A" w:rsidRDefault="0075539A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Zbatimi i sistemit kombëtar për identifikimin dhe adresimin e faktorëve të rrezikut për braktisjen e shkollës, si mungesat në shkollë, </w:t>
            </w:r>
            <w:proofErr w:type="spellStart"/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>performancë</w:t>
            </w:r>
            <w:proofErr w:type="spellEnd"/>
            <w:r w:rsidRPr="0075539A"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  <w:t xml:space="preserve"> e dobët akademike dhe çështjet e sjelljes.</w:t>
            </w:r>
          </w:p>
          <w:p w:rsidR="00CA4FE4" w:rsidRDefault="00CA4FE4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</w:p>
          <w:p w:rsidR="00CA4FE4" w:rsidRDefault="00CA4FE4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</w:p>
          <w:p w:rsidR="00CA4FE4" w:rsidRDefault="00CA4FE4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</w:p>
          <w:p w:rsidR="00CA4FE4" w:rsidRDefault="00CA4FE4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</w:p>
          <w:p w:rsidR="00CA4FE4" w:rsidRPr="0075539A" w:rsidRDefault="00CA4FE4" w:rsidP="0075539A">
            <w:pPr>
              <w:spacing w:after="0" w:line="240" w:lineRule="auto"/>
              <w:rPr>
                <w:rFonts w:ascii="Book Antiqua" w:eastAsia="Calibri" w:hAnsi="Book Antiqua" w:cs="Times New Roman"/>
                <w:kern w:val="2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shd w:val="clear" w:color="auto" w:fill="auto"/>
          </w:tcPr>
          <w:p w:rsidR="00220F95" w:rsidRDefault="00220F95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C90F4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SPH funksional dhe i përdorshëm nga të gjitha shkollat</w:t>
            </w:r>
            <w:r w:rsidR="00220F95" w:rsidRPr="00C90F4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(monitorimi i shkollave për SPH).</w:t>
            </w:r>
          </w:p>
        </w:tc>
        <w:tc>
          <w:tcPr>
            <w:tcW w:w="696" w:type="dxa"/>
            <w:shd w:val="clear" w:color="auto" w:fill="auto"/>
          </w:tcPr>
          <w:p w:rsid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82092" w:rsidRDefault="0048209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82092" w:rsidRPr="00DA3954" w:rsidRDefault="0048209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8209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482092" w:rsidRDefault="0048209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82092" w:rsidRDefault="0048209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8209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482092" w:rsidRDefault="0048209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82092" w:rsidRDefault="0048209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8209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4D0262" w:rsidRDefault="004D026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D0262" w:rsidRDefault="004D0262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4D0262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D026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D026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592989" w:rsidRDefault="0059298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92989" w:rsidRDefault="0059298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592989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9298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DA3954" w:rsidRPr="00DA3954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59298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92989" w:rsidRDefault="00592989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92989" w:rsidRDefault="00592989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7413CF" w:rsidRDefault="007413CF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</w:pPr>
            <w:r w:rsidRPr="007413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600.00</w:t>
            </w:r>
            <w:r w:rsidR="004B3513" w:rsidRPr="007413C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75539A" w:rsidRPr="0075539A" w:rsidTr="00F429A4">
        <w:trPr>
          <w:trHeight w:val="456"/>
        </w:trPr>
        <w:tc>
          <w:tcPr>
            <w:tcW w:w="13119" w:type="dxa"/>
            <w:gridSpan w:val="10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Objektiva e përgjithshme 2. Ulja e  përqindjes së e braktisjes së shkollës duke krijuar një </w:t>
            </w:r>
            <w:proofErr w:type="spellStart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tranzicion</w:t>
            </w:r>
            <w:proofErr w:type="spellEnd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 të lehtë nga shkolla e mesme e ulët në shkollën e mesme të lartë, bazuar në mundësitë e karrierës që përputhen me aftësitë, dhe interesat e nxënësve.</w:t>
            </w:r>
          </w:p>
          <w:p w:rsid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9C5726" w:rsidRDefault="009C5726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9C5726" w:rsidRDefault="009C5726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9C5726" w:rsidRPr="0075539A" w:rsidRDefault="009C5726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75539A" w:rsidRPr="0075539A" w:rsidTr="00F429A4">
        <w:trPr>
          <w:trHeight w:val="600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 xml:space="preserve">Objektiva specifike 2.1:  </w:t>
            </w:r>
            <w:proofErr w:type="spellStart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Urëzimi</w:t>
            </w:r>
            <w:proofErr w:type="spellEnd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 mes shkollës së mesme të ulët me shkollën e mesme të lartë duke filluar nga klasa e 6-të</w:t>
            </w:r>
          </w:p>
        </w:tc>
      </w:tr>
      <w:tr w:rsidR="00FF7372" w:rsidRPr="0075539A" w:rsidTr="00F429A4">
        <w:trPr>
          <w:trHeight w:val="800"/>
        </w:trPr>
        <w:tc>
          <w:tcPr>
            <w:tcW w:w="758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344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rPr>
          <w:trHeight w:val="521"/>
        </w:trPr>
        <w:tc>
          <w:tcPr>
            <w:tcW w:w="758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8814F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8814F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8814F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2.1.1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Zbatimi i politikave për ori</w:t>
            </w:r>
            <w:r w:rsidR="0075539A"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</w:t>
            </w:r>
            <w:r w:rsidR="0075539A"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timin në karrierë  në fazat e hershme dhe  me fokus  për nxënësit  e klasës së 6-të.</w:t>
            </w:r>
          </w:p>
        </w:tc>
        <w:tc>
          <w:tcPr>
            <w:tcW w:w="2950" w:type="dxa"/>
            <w:shd w:val="clear" w:color="auto" w:fill="auto"/>
          </w:tcPr>
          <w:p w:rsidR="0075539A" w:rsidRPr="00E419CA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U.A i zbatueshëm</w:t>
            </w:r>
          </w:p>
          <w:p w:rsidR="00DA3954" w:rsidRPr="00E419CA" w:rsidRDefault="00CA29B2" w:rsidP="0075539A">
            <w:pPr>
              <w:rPr>
                <w:rFonts w:ascii="Cambria" w:eastAsia="Calibri" w:hAnsi="Cambria" w:cs="Times New Roman"/>
                <w:sz w:val="24"/>
                <w:szCs w:val="24"/>
                <w:lang w:val="sq-AL"/>
              </w:rPr>
            </w:pPr>
            <w:r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</w:t>
            </w:r>
            <w:r w:rsidR="00DA3954"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ktivitet e rregullta, të realizuara</w:t>
            </w:r>
            <w:r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ndarja e informatave nga mësimdh</w:t>
            </w:r>
            <w:r w:rsidRPr="00E419CA">
              <w:rPr>
                <w:rFonts w:ascii="Cambria" w:eastAsia="Calibri" w:hAnsi="Cambria" w:cs="Times New Roman"/>
                <w:sz w:val="24"/>
                <w:szCs w:val="24"/>
                <w:lang w:val="sq-AL"/>
              </w:rPr>
              <w:t>ënësit</w:t>
            </w:r>
          </w:p>
          <w:p w:rsidR="00C43B2F" w:rsidRPr="003313C8" w:rsidRDefault="00C43B2F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696" w:type="dxa"/>
            <w:shd w:val="clear" w:color="auto" w:fill="auto"/>
          </w:tcPr>
          <w:p w:rsidR="00E419CA" w:rsidRPr="00E419CA" w:rsidRDefault="00E419C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419CA" w:rsidRPr="00E419CA" w:rsidRDefault="00E419C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E419CA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E419CA" w:rsidRPr="00E419CA" w:rsidRDefault="00E419C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419CA" w:rsidRPr="00E419CA" w:rsidRDefault="00E419C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E419CA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E419CA" w:rsidRPr="00E419CA" w:rsidRDefault="00E419C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419CA" w:rsidRPr="00E419CA" w:rsidRDefault="00E419C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E419CA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419C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E30867" w:rsidRDefault="00E30867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E30867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3086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DA3954" w:rsidRPr="003313C8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E3086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E30867" w:rsidRDefault="00E30867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E30867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3086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DA3954" w:rsidRPr="003313C8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E3086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C453B" w:rsidRDefault="00AC453B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75539A" w:rsidRDefault="001F6BF6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DA3954" w:rsidRPr="0075539A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2.1.2.</w:t>
            </w:r>
          </w:p>
        </w:tc>
        <w:tc>
          <w:tcPr>
            <w:tcW w:w="2344" w:type="dxa"/>
            <w:shd w:val="clear" w:color="auto" w:fill="auto"/>
          </w:tcPr>
          <w:p w:rsidR="00DA3954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Organizimi i panaireve të karrierës për t'i ekspozuar nxënësve para profesioneve të ndryshme dhe mundësi punësimi.</w:t>
            </w:r>
          </w:p>
          <w:p w:rsidR="006E65D0" w:rsidRPr="0075539A" w:rsidRDefault="006E65D0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shd w:val="clear" w:color="auto" w:fill="auto"/>
          </w:tcPr>
          <w:p w:rsidR="00FA5B12" w:rsidRDefault="00FA5B12" w:rsidP="00DA3954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FA5B12" w:rsidRDefault="00FA5B12" w:rsidP="00DA3954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DA3954" w:rsidRPr="003313C8" w:rsidRDefault="00DA3954" w:rsidP="00DA3954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Panairet e realizuara</w:t>
            </w:r>
            <w:r w:rsidR="00FA5B12"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në shkolla</w:t>
            </w:r>
          </w:p>
        </w:tc>
        <w:tc>
          <w:tcPr>
            <w:tcW w:w="696" w:type="dxa"/>
            <w:shd w:val="clear" w:color="auto" w:fill="auto"/>
          </w:tcPr>
          <w:p w:rsidR="00FA5B12" w:rsidRP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A5B12" w:rsidRP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A3954" w:rsidRPr="00FA5B12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FA5B12" w:rsidRP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A5B12" w:rsidRP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A3954" w:rsidRPr="00FA5B12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FA5B12" w:rsidRP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A5B12" w:rsidRP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A3954" w:rsidRPr="00FA5B12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DA3954" w:rsidRPr="00FA5B12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DA3954" w:rsidRPr="003313C8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DA3954" w:rsidRPr="00FA5B12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DA3954" w:rsidRPr="00FA5B12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5B1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  <w:p w:rsidR="00A70F5A" w:rsidRPr="003313C8" w:rsidRDefault="00A70F5A" w:rsidP="00DA395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DA3954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FA5B12" w:rsidRDefault="00FA5B12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70F5A" w:rsidRPr="0075539A" w:rsidRDefault="00C71E1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70B7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1,000.00</w:t>
            </w:r>
            <w:r w:rsidR="00E70B7F" w:rsidRPr="00E70B7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E247F1" w:rsidRPr="00E70B7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2.1.3</w:t>
            </w:r>
          </w:p>
        </w:tc>
        <w:tc>
          <w:tcPr>
            <w:tcW w:w="2344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Angazhimi i këshilltarëve për orientimin në karrierë në shkollat e mesme të ulëta për t'u ofruar nxënësve këshilla dhe mbështetje profesionale.</w:t>
            </w:r>
          </w:p>
        </w:tc>
        <w:tc>
          <w:tcPr>
            <w:tcW w:w="2950" w:type="dxa"/>
            <w:shd w:val="clear" w:color="auto" w:fill="auto"/>
          </w:tcPr>
          <w:p w:rsidR="00AD0C95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AD0C95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75539A" w:rsidRPr="003313C8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AD0C9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 i këshilltarëve të karrierës të punësuar në shkolla</w:t>
            </w:r>
          </w:p>
        </w:tc>
        <w:tc>
          <w:tcPr>
            <w:tcW w:w="696" w:type="dxa"/>
            <w:shd w:val="clear" w:color="auto" w:fill="auto"/>
          </w:tcPr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32A36" w:rsidRDefault="00B845E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32A36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32A36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32A36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Pr="00432A36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432A36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D0C95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AD0C95" w:rsidRDefault="00AD0C9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75539A" w:rsidRPr="0075539A" w:rsidRDefault="00EC207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E14A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700.00</w:t>
            </w:r>
            <w:r w:rsidR="00E11720" w:rsidRPr="007E14A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2.1.4</w:t>
            </w:r>
          </w:p>
        </w:tc>
        <w:tc>
          <w:tcPr>
            <w:tcW w:w="2344" w:type="dxa"/>
            <w:shd w:val="clear" w:color="auto" w:fill="auto"/>
          </w:tcPr>
          <w:p w:rsid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Hartimi i një programi që i ndihmon nxënësit në planifikimin e karrierës dhe vendimmarrjen, i cili përfshin lidhjen e tyre me shkollat e mesme të larta.</w:t>
            </w:r>
          </w:p>
          <w:p w:rsidR="00304C2E" w:rsidRDefault="00304C2E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7081D" w:rsidRDefault="0057081D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7081D" w:rsidRDefault="0057081D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7081D" w:rsidRPr="0075539A" w:rsidRDefault="0057081D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shd w:val="clear" w:color="auto" w:fill="auto"/>
          </w:tcPr>
          <w:p w:rsidR="007C20A5" w:rsidRPr="00432A36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Programi i hartuar dhe i shpërndarë në shkolla</w:t>
            </w:r>
          </w:p>
          <w:p w:rsidR="00432A36" w:rsidRPr="00286C5E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286C5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Java e dyerve të hapura</w:t>
            </w:r>
          </w:p>
          <w:p w:rsidR="003313C8" w:rsidRPr="003313C8" w:rsidRDefault="007C20A5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AB43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Sesion informues përmes mjeteve digjitale (CD)</w:t>
            </w:r>
          </w:p>
        </w:tc>
        <w:tc>
          <w:tcPr>
            <w:tcW w:w="696" w:type="dxa"/>
            <w:shd w:val="clear" w:color="auto" w:fill="auto"/>
          </w:tcPr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432A36" w:rsidRDefault="007C20A5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432A36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32A36" w:rsidRP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432A36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32A3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062457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624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62457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32A36" w:rsidRDefault="00432A36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0B348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B34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B34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0B348B" w:rsidRDefault="000B348B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0B348B" w:rsidRDefault="000B348B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0B348B" w:rsidRDefault="000B348B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75539A" w:rsidRDefault="007C20A5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B43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240</w:t>
            </w:r>
            <w:r w:rsidR="000B348B" w:rsidRPr="00AB43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.00</w:t>
            </w:r>
            <w:r w:rsidRPr="00AB43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€</w:t>
            </w:r>
          </w:p>
        </w:tc>
      </w:tr>
      <w:tr w:rsidR="0075539A" w:rsidRPr="0075539A" w:rsidTr="00F429A4">
        <w:trPr>
          <w:trHeight w:val="528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 xml:space="preserve">Objektiva specifike 2.2:   Ndërgjegjësimi i prindërve  dhe nxënësve për </w:t>
            </w:r>
            <w:proofErr w:type="spellStart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orinetimin</w:t>
            </w:r>
            <w:proofErr w:type="spellEnd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 në profile sipas kompetencave dhe interesave të fëmijës</w:t>
            </w:r>
          </w:p>
        </w:tc>
      </w:tr>
      <w:tr w:rsidR="00FF7372" w:rsidRPr="0075539A" w:rsidTr="00F429A4">
        <w:trPr>
          <w:trHeight w:val="540"/>
        </w:trPr>
        <w:tc>
          <w:tcPr>
            <w:tcW w:w="758" w:type="dxa"/>
            <w:vMerge w:val="restart"/>
            <w:shd w:val="clear" w:color="auto" w:fill="DEEAF6"/>
          </w:tcPr>
          <w:p w:rsid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4E51F0" w:rsidRDefault="004E51F0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4E51F0" w:rsidRDefault="004E51F0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4E51F0" w:rsidRPr="0075539A" w:rsidRDefault="004E51F0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 w:val="restart"/>
            <w:shd w:val="clear" w:color="auto" w:fill="DEEAF6"/>
          </w:tcPr>
          <w:p w:rsidR="004E51F0" w:rsidRDefault="004E51F0" w:rsidP="0075539A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75539A" w:rsidRPr="0075539A" w:rsidRDefault="0075539A" w:rsidP="0075539A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20456" w:rsidRDefault="00720456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F7372" w:rsidRPr="0075539A" w:rsidTr="00F429A4">
        <w:tc>
          <w:tcPr>
            <w:tcW w:w="758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BC648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BC648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BC648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2.2.1</w:t>
            </w:r>
          </w:p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Përgatitja e materi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a</w:t>
            </w: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leve informuese për prindër dhe nxënës.</w:t>
            </w:r>
          </w:p>
        </w:tc>
        <w:tc>
          <w:tcPr>
            <w:tcW w:w="2950" w:type="dxa"/>
            <w:shd w:val="clear" w:color="auto" w:fill="auto"/>
          </w:tcPr>
          <w:p w:rsidR="003313C8" w:rsidRPr="00BC38E0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Materialet e përgatitura</w:t>
            </w:r>
            <w:r w:rsidR="004E51F0"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:</w:t>
            </w:r>
          </w:p>
          <w:p w:rsidR="004E51F0" w:rsidRPr="003313C8" w:rsidRDefault="004E51F0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Broshura, </w:t>
            </w:r>
            <w:proofErr w:type="spellStart"/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postera</w:t>
            </w:r>
            <w:proofErr w:type="spellEnd"/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video-mesazhe</w:t>
            </w:r>
            <w:r w:rsidR="00BC38E0"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...</w:t>
            </w:r>
          </w:p>
        </w:tc>
        <w:tc>
          <w:tcPr>
            <w:tcW w:w="696" w:type="dxa"/>
            <w:shd w:val="clear" w:color="auto" w:fill="auto"/>
          </w:tcPr>
          <w:p w:rsidR="00BC38E0" w:rsidRDefault="00BC38E0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BC38E0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BC38E0" w:rsidRDefault="00BC38E0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BC38E0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BC38E0" w:rsidRDefault="00BC38E0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BC38E0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313C8" w:rsidRPr="00BC38E0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3313C8" w:rsidRPr="00BC38E0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C38E0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8F698A" w:rsidRPr="0075539A" w:rsidRDefault="008F698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1,500.00 </w:t>
            </w:r>
            <w:r w:rsidRPr="005A34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2.2.2</w:t>
            </w:r>
          </w:p>
        </w:tc>
        <w:tc>
          <w:tcPr>
            <w:tcW w:w="2344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Punëtori me prindër për promovimin e profileve arsimore dhe përparësitë e orientimit të saktë të fëmijëve në shkollimin e mesëm</w:t>
            </w:r>
          </w:p>
        </w:tc>
        <w:tc>
          <w:tcPr>
            <w:tcW w:w="2950" w:type="dxa"/>
            <w:shd w:val="clear" w:color="auto" w:fill="auto"/>
          </w:tcPr>
          <w:p w:rsid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Nr. i punëtorive, </w:t>
            </w:r>
            <w:r w:rsidR="000D1E51"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( 1 për vit) i </w:t>
            </w: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takimeve të  realizuara</w:t>
            </w:r>
          </w:p>
          <w:p w:rsidR="00C14B26" w:rsidRDefault="00C14B2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C14B26" w:rsidRDefault="00C14B2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C14B26" w:rsidRDefault="00C14B2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C14B26" w:rsidRPr="003313C8" w:rsidRDefault="00C14B26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696" w:type="dxa"/>
            <w:shd w:val="clear" w:color="auto" w:fill="auto"/>
          </w:tcPr>
          <w:p w:rsidR="000D1E51" w:rsidRP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0D1E51" w:rsidRP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D1E5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0D1E51" w:rsidRP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0D1E51" w:rsidRP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D1E5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0D1E51" w:rsidRP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0D1E51" w:rsidRP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D1E5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D1E5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0D1E5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D1E5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0D1E51" w:rsidRDefault="000D1E5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75539A" w:rsidRDefault="00A2102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2,000.00 </w:t>
            </w:r>
            <w:r w:rsidRPr="0036081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2.2.3</w:t>
            </w:r>
          </w:p>
        </w:tc>
        <w:tc>
          <w:tcPr>
            <w:tcW w:w="2344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Seminare për nxënësit e shkollave të mesme të ulëta për të eksploruar aftësitë, interesat dhe aftësitë e tyre.</w:t>
            </w:r>
          </w:p>
        </w:tc>
        <w:tc>
          <w:tcPr>
            <w:tcW w:w="2950" w:type="dxa"/>
            <w:shd w:val="clear" w:color="auto" w:fill="auto"/>
          </w:tcPr>
          <w:p w:rsidR="00045FF9" w:rsidRDefault="00045FF9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4F7206" w:rsidRDefault="003313C8" w:rsidP="00045FF9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F720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seminareve e realizuara me nxënës</w:t>
            </w:r>
            <w:r w:rsidR="00045FF9" w:rsidRPr="004F720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nga këshilltarët e karrierës</w:t>
            </w:r>
          </w:p>
          <w:p w:rsidR="00045FF9" w:rsidRPr="003313C8" w:rsidRDefault="00045FF9" w:rsidP="00045FF9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4F720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rishikohet me UA</w:t>
            </w:r>
          </w:p>
        </w:tc>
        <w:tc>
          <w:tcPr>
            <w:tcW w:w="696" w:type="dxa"/>
            <w:shd w:val="clear" w:color="auto" w:fill="auto"/>
          </w:tcPr>
          <w:p w:rsidR="004F7206" w:rsidRPr="004F0823" w:rsidRDefault="004F720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F7206" w:rsidRPr="004F0823" w:rsidRDefault="004F720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4F0823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F082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4F7206" w:rsidRPr="004F0823" w:rsidRDefault="004F720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F7206" w:rsidRPr="004F0823" w:rsidRDefault="004F720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4F0823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F082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4F7206" w:rsidRPr="004F0823" w:rsidRDefault="004F720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F7206" w:rsidRPr="004F0823" w:rsidRDefault="004F720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4F0823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4F082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9E372E" w:rsidRDefault="009E372E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9E372E" w:rsidRDefault="009E372E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9E372E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E372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9E372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9E372E" w:rsidRDefault="009E372E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9E372E" w:rsidRDefault="009E372E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9E372E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E372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9E372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83477E" w:rsidRDefault="0083477E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83477E" w:rsidRDefault="0083477E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83477E" w:rsidRPr="0075539A" w:rsidRDefault="00CE74BE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500.00 </w:t>
            </w:r>
            <w:r w:rsidRPr="002F42B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€</w:t>
            </w:r>
          </w:p>
        </w:tc>
      </w:tr>
      <w:tr w:rsidR="00FF7372" w:rsidRPr="0075539A" w:rsidTr="00F429A4">
        <w:tc>
          <w:tcPr>
            <w:tcW w:w="758" w:type="dxa"/>
            <w:shd w:val="clear" w:color="auto" w:fill="auto"/>
          </w:tcPr>
          <w:p w:rsidR="003313C8" w:rsidRPr="0075539A" w:rsidRDefault="00C4710D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2.2.4</w:t>
            </w:r>
            <w:r w:rsidR="003313C8"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44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Takime të përbashkëta me prindër, nxënës me folës motivues.</w:t>
            </w:r>
          </w:p>
        </w:tc>
        <w:tc>
          <w:tcPr>
            <w:tcW w:w="2950" w:type="dxa"/>
            <w:shd w:val="clear" w:color="auto" w:fill="auto"/>
          </w:tcPr>
          <w:p w:rsidR="003313C8" w:rsidRPr="00C4710D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C4710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Numri i takimeve të realizuara</w:t>
            </w:r>
            <w:r w:rsidR="00354ECA" w:rsidRPr="00C4710D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nga këshilltarë të karrierës.</w:t>
            </w:r>
          </w:p>
          <w:p w:rsidR="00354ECA" w:rsidRPr="003313C8" w:rsidRDefault="00C4710D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36C6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Kl.6-9 (39 takime)</w:t>
            </w:r>
          </w:p>
        </w:tc>
        <w:tc>
          <w:tcPr>
            <w:tcW w:w="696" w:type="dxa"/>
            <w:shd w:val="clear" w:color="auto" w:fill="auto"/>
          </w:tcPr>
          <w:p w:rsidR="0067068B" w:rsidRPr="0067068B" w:rsidRDefault="0067068B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67068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67068B" w:rsidRPr="0067068B" w:rsidRDefault="0067068B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67068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67068B" w:rsidRPr="0067068B" w:rsidRDefault="0067068B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67068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67068B" w:rsidRDefault="0067068B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67068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67068B" w:rsidRDefault="0067068B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67068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67068B" w:rsidRDefault="0067068B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</w:pPr>
          </w:p>
          <w:p w:rsidR="003313C8" w:rsidRPr="0075539A" w:rsidRDefault="00490C6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36C6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3604D4" w:rsidRPr="0075539A" w:rsidTr="00F429A4">
        <w:tc>
          <w:tcPr>
            <w:tcW w:w="758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2.2.5</w:t>
            </w:r>
          </w:p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shd w:val="clear" w:color="auto" w:fill="auto"/>
          </w:tcPr>
          <w:p w:rsidR="003604D4" w:rsidRPr="0075539A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Hulumtim për nr. e nxënësve të regjistruar pas mbarimit të AMU</w:t>
            </w:r>
          </w:p>
        </w:tc>
        <w:tc>
          <w:tcPr>
            <w:tcW w:w="2950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604D4" w:rsidRPr="00C4710D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Evidenca e nxënësve të regjistruar</w:t>
            </w:r>
          </w:p>
        </w:tc>
        <w:tc>
          <w:tcPr>
            <w:tcW w:w="696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604D4" w:rsidRPr="0067068B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604D4" w:rsidRPr="0067068B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604D4" w:rsidRPr="0067068B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DB6464" w:rsidRPr="0067068B" w:rsidRDefault="00DB6464" w:rsidP="00DB646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DB6464" w:rsidRDefault="00DB6464" w:rsidP="00DB6464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67068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B6464" w:rsidRPr="009E372E" w:rsidRDefault="00DB6464" w:rsidP="00DB646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E372E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DB6464" w:rsidRDefault="00DB646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3604D4" w:rsidRDefault="003604D4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</w:pPr>
          </w:p>
          <w:p w:rsidR="007F5D48" w:rsidRDefault="00A66934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red"/>
                <w:lang w:val="sq-AL"/>
              </w:rPr>
            </w:pPr>
            <w:r w:rsidRPr="00736C6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75539A" w:rsidRPr="0075539A" w:rsidTr="00F429A4">
        <w:trPr>
          <w:trHeight w:val="468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Objektiva specifike 2.3. Krijimi i partneriteteve me bizneset lokale për të ofruar mundësi të punës praktike, programe të </w:t>
            </w:r>
            <w:proofErr w:type="spellStart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mentorimit</w:t>
            </w:r>
            <w:proofErr w:type="spellEnd"/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 dhe mundësi për krijimin e vendeve të punës.</w:t>
            </w:r>
          </w:p>
        </w:tc>
      </w:tr>
      <w:tr w:rsidR="00FF7372" w:rsidRPr="0075539A" w:rsidTr="00F429A4">
        <w:trPr>
          <w:trHeight w:val="421"/>
        </w:trPr>
        <w:tc>
          <w:tcPr>
            <w:tcW w:w="758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F7372" w:rsidRPr="0075539A" w:rsidTr="00F429A4">
        <w:trPr>
          <w:trHeight w:val="432"/>
        </w:trPr>
        <w:tc>
          <w:tcPr>
            <w:tcW w:w="758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3F70D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3F70D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3F70D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2.3.1.</w:t>
            </w:r>
          </w:p>
        </w:tc>
        <w:tc>
          <w:tcPr>
            <w:tcW w:w="2344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3C24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Identifikimi i bizneseve dhe </w:t>
            </w:r>
            <w:r w:rsidRPr="003C24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krijimi i marrëveshjeve të mirëkuptimit</w:t>
            </w:r>
          </w:p>
        </w:tc>
        <w:tc>
          <w:tcPr>
            <w:tcW w:w="2950" w:type="dxa"/>
            <w:shd w:val="clear" w:color="auto" w:fill="auto"/>
          </w:tcPr>
          <w:p w:rsidR="003C24E1" w:rsidRDefault="003C24E1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3C24E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Nr. i marrëveshjeve dhe i partnerëve</w:t>
            </w:r>
          </w:p>
        </w:tc>
        <w:tc>
          <w:tcPr>
            <w:tcW w:w="696" w:type="dxa"/>
            <w:shd w:val="clear" w:color="auto" w:fill="auto"/>
          </w:tcPr>
          <w:p w:rsidR="00752F94" w:rsidRPr="00752F94" w:rsidRDefault="00752F9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752F94" w:rsidRDefault="00752F9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696" w:type="dxa"/>
            <w:shd w:val="clear" w:color="auto" w:fill="auto"/>
          </w:tcPr>
          <w:p w:rsidR="00752F94" w:rsidRPr="00752F94" w:rsidRDefault="00752F9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752F94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2F9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703" w:type="dxa"/>
            <w:shd w:val="clear" w:color="auto" w:fill="auto"/>
          </w:tcPr>
          <w:p w:rsidR="00752F94" w:rsidRPr="00752F94" w:rsidRDefault="00752F94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752F94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2F9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x</w:t>
            </w:r>
          </w:p>
        </w:tc>
        <w:tc>
          <w:tcPr>
            <w:tcW w:w="1658" w:type="dxa"/>
            <w:shd w:val="clear" w:color="auto" w:fill="auto"/>
          </w:tcPr>
          <w:p w:rsidR="00B75A43" w:rsidRDefault="00B75A43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B75A43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75A4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75A4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B75A43" w:rsidRDefault="00B75A43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B75A43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75A4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75A43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B75A43" w:rsidRDefault="00B75A43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C75741" w:rsidRPr="0075539A" w:rsidRDefault="007454D2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Pa kosto</w:t>
            </w: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2.3.2.</w:t>
            </w:r>
          </w:p>
        </w:tc>
        <w:tc>
          <w:tcPr>
            <w:tcW w:w="2344" w:type="dxa"/>
            <w:shd w:val="clear" w:color="auto" w:fill="auto"/>
          </w:tcPr>
          <w:p w:rsid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Zbatimi i marrëveshjeve të mirëkuptimit sipas përgj</w:t>
            </w:r>
            <w:r w:rsid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g</w:t>
            </w:r>
            <w:r w:rsid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j</w:t>
            </w: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ës</w:t>
            </w:r>
            <w:r w:rsidR="005A002F"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</w:t>
            </w: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 të ndara</w:t>
            </w:r>
          </w:p>
          <w:p w:rsidR="004E6950" w:rsidRDefault="004E6950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E6950" w:rsidRPr="0075539A" w:rsidRDefault="004E6950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shd w:val="clear" w:color="auto" w:fill="auto"/>
          </w:tcPr>
          <w:p w:rsidR="003313C8" w:rsidRPr="005A002F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shkollave dhe profileve përfituese të marrëveshjeve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Nr. i nxënësve që mbështeten për punën praktike.</w:t>
            </w:r>
          </w:p>
        </w:tc>
        <w:tc>
          <w:tcPr>
            <w:tcW w:w="696" w:type="dxa"/>
            <w:shd w:val="clear" w:color="auto" w:fill="auto"/>
          </w:tcPr>
          <w:p w:rsidR="005A002F" w:rsidRP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A002F" w:rsidRP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5A002F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5A002F" w:rsidRP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A002F" w:rsidRP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5A002F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5A002F" w:rsidRP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A002F" w:rsidRP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5A002F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5A00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7454D2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3313C8" w:rsidRPr="007454D2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5A002F" w:rsidRDefault="005A002F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CA250C" w:rsidRPr="0075539A" w:rsidRDefault="00CA250C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6B42B6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2.3.3</w:t>
            </w:r>
          </w:p>
          <w:p w:rsidR="006B42B6" w:rsidRPr="0075539A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Zbatimi i marrëveshjeve të mirëkuptimit sipas përgjegjësive të ndara</w:t>
            </w:r>
          </w:p>
          <w:p w:rsidR="00EB4BB8" w:rsidRDefault="00EB4BB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B4BB8" w:rsidRDefault="00EB4BB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B4BB8" w:rsidRDefault="00EB4BB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B4BB8" w:rsidRDefault="00EB4BB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EB4BB8" w:rsidRPr="005A002F" w:rsidRDefault="00EB4BB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714FA" w:rsidRPr="005A002F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Numri i marrëveshjeve dhe i partnerëve</w:t>
            </w:r>
          </w:p>
        </w:tc>
        <w:tc>
          <w:tcPr>
            <w:tcW w:w="696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714FA" w:rsidRPr="005A002F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714FA" w:rsidRPr="005A002F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4714FA" w:rsidRPr="005A002F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  <w:p w:rsidR="004714FA" w:rsidRPr="007454D2" w:rsidRDefault="004714FA" w:rsidP="004714F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  <w:p w:rsidR="004714FA" w:rsidRDefault="004714FA" w:rsidP="004714F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</w:tc>
        <w:tc>
          <w:tcPr>
            <w:tcW w:w="1783" w:type="dxa"/>
            <w:shd w:val="clear" w:color="auto" w:fill="auto"/>
          </w:tcPr>
          <w:p w:rsidR="004714FA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6B42B6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454D2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4714FA" w:rsidRDefault="004714FA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Enti për punësim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6B42B6" w:rsidRDefault="006B42B6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D5D0B" w:rsidRDefault="003D5D0B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75539A" w:rsidRPr="0075539A" w:rsidTr="00F429A4">
        <w:trPr>
          <w:trHeight w:val="468"/>
        </w:trPr>
        <w:tc>
          <w:tcPr>
            <w:tcW w:w="13119" w:type="dxa"/>
            <w:gridSpan w:val="10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Objektiva specifike 2.4. Monitorimi i zbatimit të planit të veprimit</w:t>
            </w:r>
          </w:p>
        </w:tc>
      </w:tr>
      <w:tr w:rsidR="00FF7372" w:rsidRPr="0075539A" w:rsidTr="00F429A4">
        <w:trPr>
          <w:trHeight w:val="421"/>
        </w:trPr>
        <w:tc>
          <w:tcPr>
            <w:tcW w:w="758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9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2095" w:type="dxa"/>
            <w:gridSpan w:val="3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Afati kohor</w:t>
            </w:r>
          </w:p>
        </w:tc>
        <w:tc>
          <w:tcPr>
            <w:tcW w:w="1658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1783" w:type="dxa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Institucionet mbështetëse</w:t>
            </w:r>
          </w:p>
        </w:tc>
        <w:tc>
          <w:tcPr>
            <w:tcW w:w="1531" w:type="dxa"/>
            <w:gridSpan w:val="2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Buxheti</w:t>
            </w:r>
          </w:p>
        </w:tc>
      </w:tr>
      <w:tr w:rsidR="00FF7372" w:rsidRPr="0075539A" w:rsidTr="00F429A4">
        <w:trPr>
          <w:trHeight w:val="432"/>
        </w:trPr>
        <w:tc>
          <w:tcPr>
            <w:tcW w:w="758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4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95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696" w:type="dxa"/>
            <w:shd w:val="clear" w:color="auto" w:fill="DEEAF6"/>
          </w:tcPr>
          <w:p w:rsidR="0075539A" w:rsidRPr="0075539A" w:rsidRDefault="005F2F30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696" w:type="dxa"/>
            <w:shd w:val="clear" w:color="auto" w:fill="DEEAF6"/>
          </w:tcPr>
          <w:p w:rsidR="0075539A" w:rsidRPr="0075539A" w:rsidRDefault="005F2F30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703" w:type="dxa"/>
            <w:shd w:val="clear" w:color="auto" w:fill="DEEAF6"/>
          </w:tcPr>
          <w:p w:rsidR="0075539A" w:rsidRPr="0075539A" w:rsidRDefault="005F2F30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58" w:type="dxa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31" w:type="dxa"/>
            <w:gridSpan w:val="2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FF7372" w:rsidRPr="003313C8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2.4.1.</w:t>
            </w:r>
          </w:p>
        </w:tc>
        <w:tc>
          <w:tcPr>
            <w:tcW w:w="2344" w:type="dxa"/>
            <w:shd w:val="clear" w:color="auto" w:fill="auto"/>
          </w:tcPr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Zhvillimi dhe aprovimi i kornizës monitoruese</w:t>
            </w:r>
          </w:p>
        </w:tc>
        <w:tc>
          <w:tcPr>
            <w:tcW w:w="2950" w:type="dxa"/>
            <w:shd w:val="clear" w:color="auto" w:fill="auto"/>
          </w:tcPr>
          <w:p w:rsid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Korniza monitorues e zhvilluar</w:t>
            </w:r>
            <w:r w:rsid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  <w:p w:rsidR="00085108" w:rsidRDefault="0008510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Trajnim i rasteve</w:t>
            </w:r>
          </w:p>
          <w:p w:rsidR="00085108" w:rsidRPr="003313C8" w:rsidRDefault="0008510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696" w:type="dxa"/>
            <w:shd w:val="clear" w:color="auto" w:fill="auto"/>
          </w:tcPr>
          <w:p w:rsidR="00085108" w:rsidRPr="00085108" w:rsidRDefault="0008510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8510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085108" w:rsidRPr="00085108" w:rsidRDefault="0008510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85108" w:rsidRDefault="008271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085108" w:rsidRPr="00085108" w:rsidRDefault="0008510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085108" w:rsidRDefault="008271FA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313C8" w:rsidRPr="0008510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8510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783" w:type="dxa"/>
            <w:shd w:val="clear" w:color="auto" w:fill="auto"/>
          </w:tcPr>
          <w:p w:rsidR="003313C8" w:rsidRPr="001758A6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1758A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1758A6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085108" w:rsidRPr="003313C8" w:rsidRDefault="00093DD9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093DD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600.00 €</w:t>
            </w:r>
          </w:p>
        </w:tc>
      </w:tr>
      <w:tr w:rsidR="00FF7372" w:rsidRPr="003313C8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2.4.2.</w:t>
            </w:r>
          </w:p>
        </w:tc>
        <w:tc>
          <w:tcPr>
            <w:tcW w:w="2344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Mbledhja e të dhënave sipas kornizës monitoru</w:t>
            </w:r>
            <w:r w:rsidR="006A4E0C"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</w:t>
            </w: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</w:t>
            </w:r>
          </w:p>
        </w:tc>
        <w:tc>
          <w:tcPr>
            <w:tcW w:w="2950" w:type="dxa"/>
            <w:shd w:val="clear" w:color="auto" w:fill="auto"/>
          </w:tcPr>
          <w:p w:rsidR="006A4E0C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dhënat e mbledhura</w:t>
            </w:r>
            <w:r w:rsidR="006A4E0C"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, raportet</w:t>
            </w:r>
          </w:p>
        </w:tc>
        <w:tc>
          <w:tcPr>
            <w:tcW w:w="696" w:type="dxa"/>
            <w:shd w:val="clear" w:color="auto" w:fill="auto"/>
          </w:tcPr>
          <w:p w:rsidR="006A4E0C" w:rsidRPr="00A5189B" w:rsidRDefault="006A4E0C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6A4E0C" w:rsidRPr="00A5189B" w:rsidRDefault="006A4E0C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6A4E0C" w:rsidRPr="00A5189B" w:rsidRDefault="006A4E0C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A5189B" w:rsidRDefault="006A4E0C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783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6A4E0C" w:rsidRPr="00A5189B" w:rsidRDefault="006A4E0C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FF7372" w:rsidRPr="003313C8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2.4.3</w:t>
            </w:r>
          </w:p>
        </w:tc>
        <w:tc>
          <w:tcPr>
            <w:tcW w:w="2344" w:type="dxa"/>
            <w:shd w:val="clear" w:color="auto" w:fill="auto"/>
          </w:tcPr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Analiza e të dhënave </w:t>
            </w:r>
          </w:p>
        </w:tc>
        <w:tc>
          <w:tcPr>
            <w:tcW w:w="2950" w:type="dxa"/>
            <w:shd w:val="clear" w:color="auto" w:fill="auto"/>
          </w:tcPr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Të dhënat e analizuara</w:t>
            </w:r>
          </w:p>
        </w:tc>
        <w:tc>
          <w:tcPr>
            <w:tcW w:w="696" w:type="dxa"/>
            <w:shd w:val="clear" w:color="auto" w:fill="auto"/>
          </w:tcPr>
          <w:p w:rsidR="003313C8" w:rsidRPr="00B64449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3313C8" w:rsidRPr="00B64449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3313C8" w:rsidRPr="00B64449" w:rsidRDefault="00B64449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313C8" w:rsidRPr="00B64449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Shkollat</w:t>
            </w:r>
          </w:p>
        </w:tc>
        <w:tc>
          <w:tcPr>
            <w:tcW w:w="1783" w:type="dxa"/>
            <w:shd w:val="clear" w:color="auto" w:fill="auto"/>
          </w:tcPr>
          <w:p w:rsidR="003313C8" w:rsidRPr="00B64449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3313C8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B6444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313C8" w:rsidRPr="003313C8" w:rsidRDefault="00A3442F" w:rsidP="00B64449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  <w:r w:rsidRPr="00A3442F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200.00 €</w:t>
            </w:r>
          </w:p>
        </w:tc>
      </w:tr>
      <w:tr w:rsidR="00FF7372" w:rsidRPr="0075539A" w:rsidTr="00F429A4">
        <w:trPr>
          <w:trHeight w:val="516"/>
        </w:trPr>
        <w:tc>
          <w:tcPr>
            <w:tcW w:w="758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2.4.4.</w:t>
            </w:r>
          </w:p>
        </w:tc>
        <w:tc>
          <w:tcPr>
            <w:tcW w:w="2344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Raportimi mbi zbatimin e planit të veprimit</w:t>
            </w:r>
          </w:p>
        </w:tc>
        <w:tc>
          <w:tcPr>
            <w:tcW w:w="2950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Raportimi i rregullt vjetor</w:t>
            </w:r>
          </w:p>
        </w:tc>
        <w:tc>
          <w:tcPr>
            <w:tcW w:w="696" w:type="dxa"/>
            <w:shd w:val="clear" w:color="auto" w:fill="auto"/>
          </w:tcPr>
          <w:p w:rsidR="00B64449" w:rsidRPr="00A5189B" w:rsidRDefault="00B64449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696" w:type="dxa"/>
            <w:shd w:val="clear" w:color="auto" w:fill="auto"/>
          </w:tcPr>
          <w:p w:rsidR="00B64449" w:rsidRPr="00A5189B" w:rsidRDefault="00B64449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:rsidR="00B64449" w:rsidRPr="00A5189B" w:rsidRDefault="00B64449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3313C8" w:rsidRPr="00A5189B" w:rsidRDefault="00B64449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658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</w:t>
            </w: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Shkollat</w:t>
            </w: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MASHTI</w:t>
            </w:r>
          </w:p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Partnerët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3313C8" w:rsidRPr="00A5189B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B64449" w:rsidRPr="0075539A" w:rsidRDefault="00B64449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kosto</w:t>
            </w:r>
          </w:p>
        </w:tc>
      </w:tr>
      <w:tr w:rsidR="002323CC" w:rsidRPr="0075539A" w:rsidTr="002323CC">
        <w:trPr>
          <w:trHeight w:val="516"/>
        </w:trPr>
        <w:tc>
          <w:tcPr>
            <w:tcW w:w="11595" w:type="dxa"/>
            <w:gridSpan w:val="9"/>
            <w:shd w:val="clear" w:color="auto" w:fill="auto"/>
          </w:tcPr>
          <w:p w:rsidR="002323CC" w:rsidRPr="00A5189B" w:rsidRDefault="002323CC" w:rsidP="003313C8">
            <w:pPr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  <w:r w:rsidRPr="00A5189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                                                                                                       </w:t>
            </w:r>
            <w:r w:rsidRPr="00A5189B"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  <w:t>Gjithsej</w:t>
            </w:r>
          </w:p>
        </w:tc>
        <w:tc>
          <w:tcPr>
            <w:tcW w:w="1524" w:type="dxa"/>
            <w:shd w:val="clear" w:color="auto" w:fill="auto"/>
          </w:tcPr>
          <w:p w:rsidR="002323CC" w:rsidRPr="00A5189B" w:rsidRDefault="005451D6" w:rsidP="002323CC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69,</w:t>
            </w:r>
            <w:r w:rsidR="00B322F7" w:rsidRPr="00A5189B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3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9</w:t>
            </w:r>
            <w:r w:rsidR="00B322F7" w:rsidRPr="00A5189B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0.00 €</w:t>
            </w:r>
          </w:p>
        </w:tc>
      </w:tr>
    </w:tbl>
    <w:p w:rsidR="0075539A" w:rsidRPr="002323CC" w:rsidRDefault="0075539A" w:rsidP="0075539A">
      <w:pPr>
        <w:rPr>
          <w:rFonts w:ascii="Book Antiqua" w:eastAsia="Calibri" w:hAnsi="Book Antiqua" w:cs="Times New Roman"/>
          <w:color w:val="FF0000"/>
          <w:sz w:val="24"/>
          <w:szCs w:val="24"/>
          <w:lang w:val="sq-AL"/>
        </w:rPr>
      </w:pPr>
    </w:p>
    <w:p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3A4B3C" w:rsidRDefault="003A4B3C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 </w:t>
      </w: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Shtojca : Korniza përkatëse ligjore, dokumentet e politikave dhe referencat shtesë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Ligjet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Kushtetuta e Kosovës, </w:t>
      </w:r>
    </w:p>
    <w:p w:rsidR="0075539A" w:rsidRPr="0075539A" w:rsidRDefault="00547336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hyperlink r:id="rId13" w:history="1">
        <w:r w:rsidR="0075539A"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https://gzk.rks-gov.net/ActDocumentDetail.aspx?ActID=3702</w:t>
        </w:r>
      </w:hyperlink>
    </w:p>
    <w:p w:rsidR="0075539A" w:rsidRPr="0075539A" w:rsidRDefault="0075539A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Ligji 04/L-032 për Arsimin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parauniversitar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në Kosovë, 16 shtator 2011,</w:t>
      </w:r>
      <w:hyperlink r:id="rId14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https://gzk.rks-gov.net/ActDocumentDetail.aspx?ActID=2770</w:t>
        </w:r>
      </w:hyperlink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>Ligji nr. 2003/12 për Qasjen në dokumente zyrtare, 6 nëntor 2003</w:t>
      </w: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,</w:t>
      </w:r>
      <w:hyperlink r:id="rId15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https://gzk.rks-gov.net/ActDetail.aspx?ActID=2470</w:t>
        </w:r>
      </w:hyperlink>
    </w:p>
    <w:p w:rsidR="0075539A" w:rsidRPr="0075539A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Ligji nr. 03/L – 172 për Mbrojtjen e të dhënave personale, 31 Maj 2010, </w:t>
      </w:r>
      <w:hyperlink r:id="rId16" w:history="1">
        <w:r w:rsidRPr="0075539A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https://gzk.rks-gov.net/ActDocumentDetail.aspx?ActID=2676</w:t>
        </w:r>
      </w:hyperlink>
    </w:p>
    <w:p w:rsidR="0075539A" w:rsidRPr="0075539A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>Ligji nr. 02/L-37</w:t>
      </w: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për Përdorimin e gjuhëve</w:t>
      </w: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>, 1 Mars 2007</w:t>
      </w:r>
      <w:r w:rsidRPr="0075539A">
        <w:rPr>
          <w:rFonts w:ascii="Times New Roman" w:eastAsia="Times New Roman" w:hAnsi="Times New Roman" w:cs="Arial"/>
          <w:b/>
          <w:bCs/>
          <w:sz w:val="24"/>
          <w:szCs w:val="24"/>
          <w:lang w:val="sq-AL" w:eastAsia="en-GB"/>
        </w:rPr>
        <w:t xml:space="preserve"> </w:t>
      </w:r>
      <w:hyperlink r:id="rId17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en-GB"/>
          </w:rPr>
          <w:t>https://gzk.rks-gov.net/ActDocumentDetail.aspx?ActID=2440</w:t>
        </w:r>
      </w:hyperlink>
    </w:p>
    <w:p w:rsidR="0075539A" w:rsidRPr="0075539A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Udhëzimet administrative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Udhëzimi administrativ 08/2018 për themelimin dhe fuqizimin e ekipeve për parandalim dhe reagim ndaj braktisjes dhe </w:t>
      </w:r>
      <w:proofErr w:type="spellStart"/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>mosregjistrimit</w:t>
      </w:r>
      <w:proofErr w:type="spellEnd"/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 në </w:t>
      </w:r>
      <w:proofErr w:type="spellStart"/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>arsiminparauniversitar</w:t>
      </w:r>
      <w:proofErr w:type="spellEnd"/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 </w:t>
      </w:r>
      <w:hyperlink r:id="rId18" w:history="1">
        <w:r w:rsidRPr="0075539A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https://masht.rks-gov.net/udhezimi-adinistrativ-masht-nr-08-2018-per-themelimin-dhe-fuqizimin-e-ekipeve-parandalimdhe-kbmnapu/</w:t>
        </w:r>
      </w:hyperlink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lastRenderedPageBreak/>
        <w:t xml:space="preserve">Udhëzimi administrativ nr. 9/2011 për mbledhjen dhe raportimin e të dhënave statistikore nga shkollat dhe institucionet parashkollore në arsimin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parauniversitar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duke përdorur sistemin për menaxhimin e informatave në arsim, 30 dhjetor 2012, </w:t>
      </w:r>
      <w:hyperlink r:id="rId19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https://masht.rks-gov.net/9-ua-per-mbledhjen-dhe-raportimin-e-te-dhenave-statestikore-nga-shkollat-dhe-institucionet-parashkollore-ne-arsimimin-parauniversitar-duke-perdorur-sistemin-per-menaxhimin-e-informative-ne/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 U.A për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transferin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e nxënësve </w:t>
      </w:r>
      <w:hyperlink r:id="rId20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https://masht.rks-gov.net/16-ua-per-kalimin-e-nxenesit-te-shkolles-se-mesme-te-larte-prej-nje-profili-arsimor-ne-tjetrin-prej-nje-shkolle-ne-shkollen-tjeter-nr-16-2011-date-30-12-2011/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UA. 08/2022 për dokumentacionin shkollor  të arsimit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parauniversitar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, </w:t>
      </w:r>
      <w:hyperlink r:id="rId21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https://masht.rks-gov.net/udhezim-administrativ-masht-nr-08-per-dokumentacionin-shkollor-ne-arsimin-parauniversitar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/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U.A 03/2012 Barasvlera dhe njohja e dokumenteve të arsimit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parauniversitar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të lëshuara jashtë Republikës së Kosovës </w:t>
      </w:r>
      <w:hyperlink r:id="rId22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https://masht.rks-gov.net/ua-barasvlera-dhe-njohja-e-dokumenteve-te-arsimit-parauniversitar-te-leshuara-jashte-republikes-se-kosoves-nr-03-2012-date-02-05-2012/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U.A. 19/2015, Për sistemimin e nxënësve të cilët kanë migruar nga viti shkollor 2014/2015 </w:t>
      </w:r>
      <w:hyperlink r:id="rId23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https://masht.rks-gov.net/ua-masht-nr-19-2015-per-sisteminin-e-nxenesve-te-cilet-kane-migruar-nga-viti-shkollor-2014-2015/</w:t>
        </w:r>
      </w:hyperlink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U.A. 1/2016, Përcaktimi i kushteve, kritereve dhe procedurave për organizimin e mësimit plotësues për nxënësit e riatdhesuar </w:t>
      </w:r>
      <w:hyperlink r:id="rId24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https://masht.rks-gov.net/ua-nr-01-2016-dt-12-01-2016-per-percaktimin-e-kushteve-kritereve-dhe-procedurave-per-organizimin-e-mesimit-plotesues-per-nxenesit-e-riatdhesuar-organizimi-dhe-planifikimi-i-procesit-arsimor-ne-ars/</w:t>
        </w:r>
      </w:hyperlink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 01/2014 për organizimin dhe planifikimin e AAP  </w:t>
      </w:r>
      <w:hyperlink r:id="rId25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https://masht.rks-gov.net/ua-masht-nr-01-2014-organizimi-dhe-planifikimi-i-procesit-arsimor-ne-arsimin-dhe-aftesimin-profesional/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.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U.A 02/2014 Numri i nxënëse me module dhe kualifikime te AAP, resurset, </w:t>
      </w:r>
      <w:proofErr w:type="spellStart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infrastrukturadhe</w:t>
      </w:r>
      <w:proofErr w:type="spellEnd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siguria e nxënësve </w:t>
      </w:r>
      <w:hyperlink r:id="rId26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https://masht.rks-gov.net/ua-masht-nr-02-2014-numri-i-nxenesve-me-module-dhe-kualifikime-te-aap-resurset-infrastruktura-shkollore-siguria-e-nxenesve/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(MASHT) Nr. 06.2014 Kodi i mirësjelljes dhe masat disiplinore për nxënës të shkollave të mesme të larta </w:t>
      </w:r>
      <w:hyperlink r:id="rId27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https://gzk.rks-</w:t>
        </w:r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lastRenderedPageBreak/>
          <w:t>gov.net/ActDocumentDetail.aspx?ActID=10128</w:t>
        </w:r>
      </w:hyperlink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highlight w:val="yellow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UA- MASHT </w:t>
      </w:r>
      <w:proofErr w:type="spellStart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Nr</w:t>
      </w:r>
      <w:proofErr w:type="spellEnd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: 12/2014 Përjashtimet në moshë me rastin e regjistrimit në arsimin dhe aftësimin për të rritur </w:t>
      </w:r>
      <w:hyperlink r:id="rId28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https://masht.rks-gov.net/ua-masht-nr-12-2014-perjashtimet-ne-moshe-me-rastin-e-regjistrimit-ne-arsimin-dhe-aftesimin-per-te-rritur/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( Politika për mësimin </w:t>
      </w:r>
      <w:proofErr w:type="spellStart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dual</w:t>
      </w:r>
      <w:proofErr w:type="spellEnd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ka filluar nga shtatori 2022 </w:t>
      </w:r>
      <w:proofErr w:type="spellStart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fillimsiht</w:t>
      </w:r>
      <w:proofErr w:type="spellEnd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në 4 profile: kuzhinier, asistent i restorantit, floktar dhe murator)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Ministria e Arsimit është e interesuar  për sistemin </w:t>
      </w:r>
      <w:proofErr w:type="spellStart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dual</w:t>
      </w:r>
      <w:proofErr w:type="spellEnd"/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të mësimit, me synimin që në secilën komunë të bashkëpunohet me bizneset që kanë mundësi punësimi për të rinjtë, duke u kujdesur për sigurinë në punë dhe çështjet që ndërlidhen me punën që e bëjnë nxënësit nën moshën 18 vjet.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b/>
          <w:i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   Strategjitë kombëtare/planet e veprimit 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Plani strategjik i arsimit në Kosovë (2022-2026), 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Strategjia  për të drejtat e fëmijës (2019-2023),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Strategjia kombëtare kundër trafikimit me njerëz në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kosovë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(2022-2026),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Strategjia dhe plani i veprimit për përfshirjen e komuniteteve rom dhe </w:t>
      </w:r>
      <w:proofErr w:type="spellStart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ashkali</w:t>
      </w:r>
      <w:proofErr w:type="spellEnd"/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në shoqërinë kosovare (2022-2026).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  <w:t xml:space="preserve">    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Të tjera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Mundësi të Barabarta për arsim për të gjithë, Doracak për ekipet shkollore për parandalim dhe reagim ndaj braktisjes dhe mosregjistrimit në arsimin e obliguar </w:t>
      </w: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( MASHT, 2023)</w:t>
      </w:r>
      <w:r w:rsidRPr="0075539A">
        <w:rPr>
          <w:rFonts w:ascii="Arial" w:eastAsia="Arial" w:hAnsi="Arial" w:cs="Arial"/>
          <w:lang w:val="sq-AL"/>
        </w:rPr>
        <w:t xml:space="preserve"> 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  <w:t xml:space="preserve">Mundësi të Barabarta për arsim për të gjithë, Doracak për ekipet komunale për parandalim dhe reagim ndaj braktisjes dhe mosregjistrimit në arsimin e obliguar ( </w:t>
      </w:r>
      <w:r w:rsidRPr="0075539A"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  <w:t xml:space="preserve">MASHT, 2023) 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Agjencia Gjermane për Bashkëpunim Ndërkombëtar (GIZ)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, Trajtimi i refuzimit të shkollës dhe braktisjeve: doracak i orientuar kah praktika   [Dealing ëith school refusal and dropouts: A practice-oriented manual] (tetor 2011).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lastRenderedPageBreak/>
        <w:t>Raporti i OSBE-së: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  Përcjellja e braktisjes së shkollës dhe mosvijimit në Kosovë  http://www.osce.org/sq/kosovo/95113?download=true (qasur më 24 mars 2014).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Regjistrimi dhe braktisja e shkollës nga vajzat në Kosovë  (MAShT &amp;  UNICEF2004).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Braktisja e shkollës nga nxënësit në Kosovë (MASHT, 2008)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Instituti Pedagogjik i  Kosovës,  </w:t>
      </w:r>
      <w:proofErr w:type="spellStart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Femijët</w:t>
      </w:r>
      <w:proofErr w:type="spellEnd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 </w:t>
      </w:r>
      <w:proofErr w:type="spellStart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jashte</w:t>
      </w:r>
      <w:proofErr w:type="spellEnd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 shkollës – Studim bazë për praktikat e parandalimit dhe të reagimit ndaj braktisjes dhe </w:t>
      </w:r>
      <w:proofErr w:type="spellStart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mosregjistrimit</w:t>
      </w:r>
      <w:proofErr w:type="spellEnd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 në shkollë</w:t>
      </w: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(2014)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UNICEF, Përmbledhje e Politikave -  </w:t>
      </w:r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Të gjithë </w:t>
      </w:r>
      <w:proofErr w:type="spellStart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>femijët</w:t>
      </w:r>
      <w:proofErr w:type="spellEnd"/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 regjistrohen, vijojnë dhe përfundojnë arsimimin</w:t>
      </w: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, 2014 </w:t>
      </w:r>
    </w:p>
    <w:p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  <w:sectPr w:rsidR="0075539A" w:rsidRPr="0075539A" w:rsidSect="00DA3954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75539A" w:rsidRPr="0075539A" w:rsidRDefault="0075539A" w:rsidP="007553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DF39B0" w:rsidRPr="003A7D7D" w:rsidRDefault="00DF39B0" w:rsidP="00BD3459">
      <w:pPr>
        <w:rPr>
          <w:rFonts w:ascii="Book Antiqua" w:hAnsi="Book Antiqua"/>
          <w:sz w:val="24"/>
          <w:szCs w:val="24"/>
        </w:rPr>
      </w:pPr>
    </w:p>
    <w:sectPr w:rsidR="00DF39B0" w:rsidRPr="003A7D7D" w:rsidSect="00DA39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36" w:rsidRDefault="00547336">
      <w:pPr>
        <w:spacing w:after="0" w:line="240" w:lineRule="auto"/>
      </w:pPr>
      <w:r>
        <w:separator/>
      </w:r>
    </w:p>
  </w:endnote>
  <w:endnote w:type="continuationSeparator" w:id="0">
    <w:p w:rsidR="00547336" w:rsidRDefault="0054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5" w:rsidRDefault="008D0E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063">
      <w:rPr>
        <w:noProof/>
      </w:rPr>
      <w:t>2</w:t>
    </w:r>
    <w:r>
      <w:fldChar w:fldCharType="end"/>
    </w:r>
  </w:p>
  <w:p w:rsidR="008D0EE5" w:rsidRDefault="008D0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5" w:rsidRDefault="008D0EE5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9525" t="19050" r="10160" b="12065"/>
              <wp:docPr id="2" name="Flowchart: Decis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0991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372A3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" fillcolor="black">
              <w10:anchorlock/>
            </v:shape>
          </w:pict>
        </mc:Fallback>
      </mc:AlternateContent>
    </w:r>
  </w:p>
  <w:p w:rsidR="008D0EE5" w:rsidRDefault="008D0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36" w:rsidRDefault="00547336">
      <w:pPr>
        <w:spacing w:after="0" w:line="240" w:lineRule="auto"/>
      </w:pPr>
      <w:r>
        <w:separator/>
      </w:r>
    </w:p>
  </w:footnote>
  <w:footnote w:type="continuationSeparator" w:id="0">
    <w:p w:rsidR="00547336" w:rsidRDefault="0054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5" w:rsidRPr="009D2023" w:rsidRDefault="008D0EE5" w:rsidP="00DA3954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  <w:sz w:val="24"/>
        <w:szCs w:val="24"/>
        <w:lang w:val="sq-AL"/>
      </w:rPr>
    </w:pPr>
    <w:r w:rsidRPr="009D2023">
      <w:rPr>
        <w:rFonts w:ascii="Times New Roman" w:hAnsi="Times New Roman"/>
        <w:sz w:val="24"/>
        <w:szCs w:val="24"/>
        <w:lang w:val="sq-AL"/>
      </w:rPr>
      <w:t>P</w:t>
    </w:r>
    <w:r>
      <w:rPr>
        <w:rFonts w:ascii="Times New Roman" w:hAnsi="Times New Roman"/>
        <w:sz w:val="24"/>
        <w:szCs w:val="24"/>
        <w:lang w:val="sq-AL"/>
      </w:rPr>
      <w:t>lani</w:t>
    </w:r>
    <w:r w:rsidRPr="009D2023">
      <w:rPr>
        <w:rFonts w:ascii="Times New Roman" w:hAnsi="Times New Roman"/>
        <w:sz w:val="24"/>
        <w:szCs w:val="24"/>
        <w:lang w:val="sq-AL"/>
      </w:rPr>
      <w:t xml:space="preserve"> </w:t>
    </w:r>
    <w:r>
      <w:rPr>
        <w:rFonts w:ascii="Times New Roman" w:hAnsi="Times New Roman"/>
        <w:sz w:val="24"/>
        <w:szCs w:val="24"/>
        <w:lang w:val="sq-AL"/>
      </w:rPr>
      <w:t xml:space="preserve">komunal </w:t>
    </w:r>
    <w:r w:rsidRPr="009D2023">
      <w:rPr>
        <w:rFonts w:ascii="Times New Roman" w:hAnsi="Times New Roman"/>
        <w:sz w:val="24"/>
        <w:szCs w:val="24"/>
        <w:lang w:val="sq-AL"/>
      </w:rPr>
      <w:t xml:space="preserve">i veprimit kundër braktisjes </w:t>
    </w:r>
    <w:r>
      <w:rPr>
        <w:rFonts w:ascii="Times New Roman" w:hAnsi="Times New Roman"/>
        <w:sz w:val="24"/>
        <w:szCs w:val="24"/>
        <w:lang w:val="sq-AL"/>
      </w:rPr>
      <w:t xml:space="preserve"> dhe mos regjistrimit të shkollës 2024-26</w:t>
    </w:r>
  </w:p>
  <w:p w:rsidR="008D0EE5" w:rsidRDefault="008D0EE5">
    <w:pPr>
      <w:pStyle w:val="Header"/>
      <w:pBdr>
        <w:between w:val="single" w:sz="4" w:space="1" w:color="4F81BD"/>
      </w:pBdr>
      <w:spacing w:line="276" w:lineRule="auto"/>
      <w:jc w:val="center"/>
    </w:pPr>
  </w:p>
  <w:p w:rsidR="008D0EE5" w:rsidRDefault="008D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E5" w:rsidRPr="005555EE" w:rsidRDefault="008D0EE5" w:rsidP="00DA3954">
    <w:pPr>
      <w:pStyle w:val="Header"/>
    </w:pPr>
    <w:r>
      <w:rPr>
        <w:noProof/>
        <w:lang w:eastAsia="zh-TW"/>
      </w:rPr>
      <w:t xml:space="preserve">                                                </w:t>
    </w:r>
    <w:r w:rsidRPr="005555EE">
      <w:rPr>
        <w:noProof/>
        <w:lang w:eastAsia="zh-TW"/>
      </w:rPr>
      <w:t>P</w:t>
    </w:r>
    <w:r>
      <w:rPr>
        <w:noProof/>
        <w:lang w:eastAsia="zh-TW"/>
      </w:rPr>
      <w:t>lani Komunal i Veprimit kundër Braktisjes  dhe Mosregjistrimit të Shkollës 2024-26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46DB"/>
    <w:multiLevelType w:val="hybridMultilevel"/>
    <w:tmpl w:val="0EA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77CC"/>
    <w:multiLevelType w:val="hybridMultilevel"/>
    <w:tmpl w:val="D5C8F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1CDC"/>
    <w:multiLevelType w:val="hybridMultilevel"/>
    <w:tmpl w:val="BB5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00267"/>
    <w:multiLevelType w:val="hybridMultilevel"/>
    <w:tmpl w:val="4E5C902C"/>
    <w:lvl w:ilvl="0" w:tplc="6E285C7A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05106"/>
    <w:multiLevelType w:val="hybridMultilevel"/>
    <w:tmpl w:val="1D70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F3C29"/>
    <w:multiLevelType w:val="hybridMultilevel"/>
    <w:tmpl w:val="2B6637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2158"/>
    <w:multiLevelType w:val="multilevel"/>
    <w:tmpl w:val="E1C040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2503DA6"/>
    <w:multiLevelType w:val="hybridMultilevel"/>
    <w:tmpl w:val="7374C948"/>
    <w:lvl w:ilvl="0" w:tplc="432C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AF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A2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4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8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8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C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0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0B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0D4181"/>
    <w:multiLevelType w:val="hybridMultilevel"/>
    <w:tmpl w:val="A55A1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93EB3"/>
    <w:multiLevelType w:val="hybridMultilevel"/>
    <w:tmpl w:val="43103FC8"/>
    <w:lvl w:ilvl="0" w:tplc="347260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AAE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C46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EE7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AC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AC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01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046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C5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A2BCB"/>
    <w:multiLevelType w:val="hybridMultilevel"/>
    <w:tmpl w:val="8808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0"/>
    <w:rsid w:val="00004425"/>
    <w:rsid w:val="00011EE3"/>
    <w:rsid w:val="00023C70"/>
    <w:rsid w:val="0002564C"/>
    <w:rsid w:val="00033E24"/>
    <w:rsid w:val="00042E52"/>
    <w:rsid w:val="00043032"/>
    <w:rsid w:val="00043AD4"/>
    <w:rsid w:val="00045FF9"/>
    <w:rsid w:val="00055B00"/>
    <w:rsid w:val="00062457"/>
    <w:rsid w:val="000633D4"/>
    <w:rsid w:val="00070671"/>
    <w:rsid w:val="00070BC4"/>
    <w:rsid w:val="000726DF"/>
    <w:rsid w:val="000734C8"/>
    <w:rsid w:val="000764C2"/>
    <w:rsid w:val="00085108"/>
    <w:rsid w:val="00087FF8"/>
    <w:rsid w:val="00093DD9"/>
    <w:rsid w:val="000A210B"/>
    <w:rsid w:val="000A2510"/>
    <w:rsid w:val="000B080A"/>
    <w:rsid w:val="000B348B"/>
    <w:rsid w:val="000B3E12"/>
    <w:rsid w:val="000B4E87"/>
    <w:rsid w:val="000C7351"/>
    <w:rsid w:val="000D114D"/>
    <w:rsid w:val="000D1E51"/>
    <w:rsid w:val="000F0244"/>
    <w:rsid w:val="000F0EB6"/>
    <w:rsid w:val="000F23F6"/>
    <w:rsid w:val="000F536A"/>
    <w:rsid w:val="000F76A6"/>
    <w:rsid w:val="00102483"/>
    <w:rsid w:val="00104CD8"/>
    <w:rsid w:val="00106571"/>
    <w:rsid w:val="00112C04"/>
    <w:rsid w:val="001220E9"/>
    <w:rsid w:val="0013291A"/>
    <w:rsid w:val="00134FDE"/>
    <w:rsid w:val="00143976"/>
    <w:rsid w:val="001549B6"/>
    <w:rsid w:val="00156D5F"/>
    <w:rsid w:val="001573C7"/>
    <w:rsid w:val="00164646"/>
    <w:rsid w:val="00170AE2"/>
    <w:rsid w:val="001758A6"/>
    <w:rsid w:val="00183956"/>
    <w:rsid w:val="001B011F"/>
    <w:rsid w:val="001B358D"/>
    <w:rsid w:val="001D0AD3"/>
    <w:rsid w:val="001D36D0"/>
    <w:rsid w:val="001D5DC2"/>
    <w:rsid w:val="001E6059"/>
    <w:rsid w:val="001F05CC"/>
    <w:rsid w:val="001F13B7"/>
    <w:rsid w:val="001F281A"/>
    <w:rsid w:val="001F6BF6"/>
    <w:rsid w:val="002013A6"/>
    <w:rsid w:val="00203AC1"/>
    <w:rsid w:val="0020521C"/>
    <w:rsid w:val="00220F95"/>
    <w:rsid w:val="002269CE"/>
    <w:rsid w:val="002323CC"/>
    <w:rsid w:val="00257945"/>
    <w:rsid w:val="00261D80"/>
    <w:rsid w:val="00284512"/>
    <w:rsid w:val="00286C5E"/>
    <w:rsid w:val="0029282A"/>
    <w:rsid w:val="002A5E87"/>
    <w:rsid w:val="002B54CE"/>
    <w:rsid w:val="002C7E84"/>
    <w:rsid w:val="002D61D4"/>
    <w:rsid w:val="002E051E"/>
    <w:rsid w:val="002E2EA7"/>
    <w:rsid w:val="002F0094"/>
    <w:rsid w:val="002F10E5"/>
    <w:rsid w:val="002F1199"/>
    <w:rsid w:val="002F42B9"/>
    <w:rsid w:val="00302C2F"/>
    <w:rsid w:val="0030457C"/>
    <w:rsid w:val="00304C2E"/>
    <w:rsid w:val="00307DE5"/>
    <w:rsid w:val="003313C8"/>
    <w:rsid w:val="0033495B"/>
    <w:rsid w:val="00336962"/>
    <w:rsid w:val="0033782B"/>
    <w:rsid w:val="0034558D"/>
    <w:rsid w:val="0034712C"/>
    <w:rsid w:val="00354ECA"/>
    <w:rsid w:val="003604D4"/>
    <w:rsid w:val="00360815"/>
    <w:rsid w:val="00363B5F"/>
    <w:rsid w:val="003653ED"/>
    <w:rsid w:val="00371C74"/>
    <w:rsid w:val="00374CFF"/>
    <w:rsid w:val="0039105B"/>
    <w:rsid w:val="00392E95"/>
    <w:rsid w:val="003A4B3C"/>
    <w:rsid w:val="003A5A3E"/>
    <w:rsid w:val="003A7D7D"/>
    <w:rsid w:val="003B1AFF"/>
    <w:rsid w:val="003B1D38"/>
    <w:rsid w:val="003B399E"/>
    <w:rsid w:val="003B5698"/>
    <w:rsid w:val="003C1E3E"/>
    <w:rsid w:val="003C24E1"/>
    <w:rsid w:val="003C681F"/>
    <w:rsid w:val="003D3017"/>
    <w:rsid w:val="003D341B"/>
    <w:rsid w:val="003D5D0B"/>
    <w:rsid w:val="003D7E48"/>
    <w:rsid w:val="003E7C95"/>
    <w:rsid w:val="003F5BD8"/>
    <w:rsid w:val="003F70DA"/>
    <w:rsid w:val="00403889"/>
    <w:rsid w:val="004049A5"/>
    <w:rsid w:val="00405D18"/>
    <w:rsid w:val="004154CA"/>
    <w:rsid w:val="00416585"/>
    <w:rsid w:val="00416647"/>
    <w:rsid w:val="004272D1"/>
    <w:rsid w:val="004310B6"/>
    <w:rsid w:val="00432A36"/>
    <w:rsid w:val="004365C6"/>
    <w:rsid w:val="00447C3A"/>
    <w:rsid w:val="0046027B"/>
    <w:rsid w:val="004714FA"/>
    <w:rsid w:val="0048087D"/>
    <w:rsid w:val="00482092"/>
    <w:rsid w:val="00482155"/>
    <w:rsid w:val="00490C66"/>
    <w:rsid w:val="00490E5A"/>
    <w:rsid w:val="00494686"/>
    <w:rsid w:val="0049634D"/>
    <w:rsid w:val="004A173C"/>
    <w:rsid w:val="004A1894"/>
    <w:rsid w:val="004A3131"/>
    <w:rsid w:val="004B3513"/>
    <w:rsid w:val="004B4500"/>
    <w:rsid w:val="004C16D1"/>
    <w:rsid w:val="004C6EB9"/>
    <w:rsid w:val="004D0262"/>
    <w:rsid w:val="004D719E"/>
    <w:rsid w:val="004E51F0"/>
    <w:rsid w:val="004E6950"/>
    <w:rsid w:val="004F01B0"/>
    <w:rsid w:val="004F0823"/>
    <w:rsid w:val="004F7206"/>
    <w:rsid w:val="00505957"/>
    <w:rsid w:val="00506F6D"/>
    <w:rsid w:val="005342B8"/>
    <w:rsid w:val="0053583D"/>
    <w:rsid w:val="00535F59"/>
    <w:rsid w:val="005425C7"/>
    <w:rsid w:val="00543E86"/>
    <w:rsid w:val="005451D6"/>
    <w:rsid w:val="00547336"/>
    <w:rsid w:val="00551682"/>
    <w:rsid w:val="00553E19"/>
    <w:rsid w:val="00560F4B"/>
    <w:rsid w:val="00565401"/>
    <w:rsid w:val="005677C2"/>
    <w:rsid w:val="0057081D"/>
    <w:rsid w:val="00571EFA"/>
    <w:rsid w:val="0057339A"/>
    <w:rsid w:val="00577CA1"/>
    <w:rsid w:val="00585C35"/>
    <w:rsid w:val="0058713C"/>
    <w:rsid w:val="00592989"/>
    <w:rsid w:val="005A002F"/>
    <w:rsid w:val="005A343B"/>
    <w:rsid w:val="005B0063"/>
    <w:rsid w:val="005E4341"/>
    <w:rsid w:val="005E7DE0"/>
    <w:rsid w:val="005F0F52"/>
    <w:rsid w:val="005F2F30"/>
    <w:rsid w:val="005F3D2B"/>
    <w:rsid w:val="005F4144"/>
    <w:rsid w:val="00602E2F"/>
    <w:rsid w:val="00617090"/>
    <w:rsid w:val="006406EF"/>
    <w:rsid w:val="0064320B"/>
    <w:rsid w:val="00644748"/>
    <w:rsid w:val="00647AF5"/>
    <w:rsid w:val="00650CEF"/>
    <w:rsid w:val="00653B29"/>
    <w:rsid w:val="00657957"/>
    <w:rsid w:val="00660ACF"/>
    <w:rsid w:val="00661460"/>
    <w:rsid w:val="00664212"/>
    <w:rsid w:val="0067068B"/>
    <w:rsid w:val="00685EF4"/>
    <w:rsid w:val="006872D5"/>
    <w:rsid w:val="00694335"/>
    <w:rsid w:val="00697BD9"/>
    <w:rsid w:val="006A0885"/>
    <w:rsid w:val="006A2480"/>
    <w:rsid w:val="006A3BE0"/>
    <w:rsid w:val="006A4E0C"/>
    <w:rsid w:val="006B42B6"/>
    <w:rsid w:val="006C6EB7"/>
    <w:rsid w:val="006D6FD7"/>
    <w:rsid w:val="006E65D0"/>
    <w:rsid w:val="006F19E1"/>
    <w:rsid w:val="006F3DA3"/>
    <w:rsid w:val="00704B1C"/>
    <w:rsid w:val="00706E7E"/>
    <w:rsid w:val="00710D9F"/>
    <w:rsid w:val="007203A4"/>
    <w:rsid w:val="00720456"/>
    <w:rsid w:val="0072150B"/>
    <w:rsid w:val="00733210"/>
    <w:rsid w:val="00734CA4"/>
    <w:rsid w:val="00736C6A"/>
    <w:rsid w:val="0073727D"/>
    <w:rsid w:val="0073753B"/>
    <w:rsid w:val="007404A6"/>
    <w:rsid w:val="007413CF"/>
    <w:rsid w:val="007454D2"/>
    <w:rsid w:val="00752F94"/>
    <w:rsid w:val="0075539A"/>
    <w:rsid w:val="00760B4D"/>
    <w:rsid w:val="00771A9F"/>
    <w:rsid w:val="0077206A"/>
    <w:rsid w:val="007816F9"/>
    <w:rsid w:val="00792757"/>
    <w:rsid w:val="00792FE0"/>
    <w:rsid w:val="007A41B4"/>
    <w:rsid w:val="007A4BE0"/>
    <w:rsid w:val="007B5B79"/>
    <w:rsid w:val="007C20A5"/>
    <w:rsid w:val="007E14A9"/>
    <w:rsid w:val="007E6AD6"/>
    <w:rsid w:val="007F3DBE"/>
    <w:rsid w:val="007F5D48"/>
    <w:rsid w:val="00801665"/>
    <w:rsid w:val="008271FA"/>
    <w:rsid w:val="0083477E"/>
    <w:rsid w:val="008548EB"/>
    <w:rsid w:val="00861C3B"/>
    <w:rsid w:val="00861D17"/>
    <w:rsid w:val="008641E0"/>
    <w:rsid w:val="0086524C"/>
    <w:rsid w:val="0086528B"/>
    <w:rsid w:val="00871FF8"/>
    <w:rsid w:val="00880050"/>
    <w:rsid w:val="008814FC"/>
    <w:rsid w:val="008909E9"/>
    <w:rsid w:val="00897A4F"/>
    <w:rsid w:val="008A51C1"/>
    <w:rsid w:val="008B6406"/>
    <w:rsid w:val="008C2D23"/>
    <w:rsid w:val="008D0EE5"/>
    <w:rsid w:val="008E2539"/>
    <w:rsid w:val="008E5872"/>
    <w:rsid w:val="008F698A"/>
    <w:rsid w:val="009269CB"/>
    <w:rsid w:val="009326E1"/>
    <w:rsid w:val="009335F9"/>
    <w:rsid w:val="009359DC"/>
    <w:rsid w:val="00942D57"/>
    <w:rsid w:val="00945E2D"/>
    <w:rsid w:val="00956C9B"/>
    <w:rsid w:val="00966F39"/>
    <w:rsid w:val="00970984"/>
    <w:rsid w:val="00973495"/>
    <w:rsid w:val="0098436A"/>
    <w:rsid w:val="00985F11"/>
    <w:rsid w:val="00987F00"/>
    <w:rsid w:val="009A1370"/>
    <w:rsid w:val="009A5F0A"/>
    <w:rsid w:val="009A7426"/>
    <w:rsid w:val="009B28A0"/>
    <w:rsid w:val="009B4B28"/>
    <w:rsid w:val="009C5726"/>
    <w:rsid w:val="009D3D12"/>
    <w:rsid w:val="009D74C0"/>
    <w:rsid w:val="009E1367"/>
    <w:rsid w:val="009E372E"/>
    <w:rsid w:val="009F2D7D"/>
    <w:rsid w:val="00A02D95"/>
    <w:rsid w:val="00A065BD"/>
    <w:rsid w:val="00A11813"/>
    <w:rsid w:val="00A138B5"/>
    <w:rsid w:val="00A139AC"/>
    <w:rsid w:val="00A16220"/>
    <w:rsid w:val="00A2102A"/>
    <w:rsid w:val="00A24F2A"/>
    <w:rsid w:val="00A3442F"/>
    <w:rsid w:val="00A3749E"/>
    <w:rsid w:val="00A45EF6"/>
    <w:rsid w:val="00A475C4"/>
    <w:rsid w:val="00A5189B"/>
    <w:rsid w:val="00A66934"/>
    <w:rsid w:val="00A70F5A"/>
    <w:rsid w:val="00A805F5"/>
    <w:rsid w:val="00AA0045"/>
    <w:rsid w:val="00AA740D"/>
    <w:rsid w:val="00AB01DF"/>
    <w:rsid w:val="00AB4308"/>
    <w:rsid w:val="00AC1682"/>
    <w:rsid w:val="00AC3201"/>
    <w:rsid w:val="00AC453B"/>
    <w:rsid w:val="00AC5609"/>
    <w:rsid w:val="00AC7951"/>
    <w:rsid w:val="00AD0C95"/>
    <w:rsid w:val="00AE0D5C"/>
    <w:rsid w:val="00AE285C"/>
    <w:rsid w:val="00AE5A29"/>
    <w:rsid w:val="00AE63D4"/>
    <w:rsid w:val="00AE73C2"/>
    <w:rsid w:val="00AF2C86"/>
    <w:rsid w:val="00AF2F3D"/>
    <w:rsid w:val="00B0007C"/>
    <w:rsid w:val="00B322F7"/>
    <w:rsid w:val="00B3636F"/>
    <w:rsid w:val="00B425F1"/>
    <w:rsid w:val="00B56EBF"/>
    <w:rsid w:val="00B64449"/>
    <w:rsid w:val="00B65C86"/>
    <w:rsid w:val="00B65FA8"/>
    <w:rsid w:val="00B70F22"/>
    <w:rsid w:val="00B75A43"/>
    <w:rsid w:val="00B80ED7"/>
    <w:rsid w:val="00B812CC"/>
    <w:rsid w:val="00B845EA"/>
    <w:rsid w:val="00BA150A"/>
    <w:rsid w:val="00BA79CB"/>
    <w:rsid w:val="00BC38E0"/>
    <w:rsid w:val="00BC648C"/>
    <w:rsid w:val="00BD3459"/>
    <w:rsid w:val="00BE132F"/>
    <w:rsid w:val="00BE272D"/>
    <w:rsid w:val="00BE672D"/>
    <w:rsid w:val="00BF031C"/>
    <w:rsid w:val="00BF2A54"/>
    <w:rsid w:val="00BF3137"/>
    <w:rsid w:val="00C14B26"/>
    <w:rsid w:val="00C152C8"/>
    <w:rsid w:val="00C15BE1"/>
    <w:rsid w:val="00C16632"/>
    <w:rsid w:val="00C34D5F"/>
    <w:rsid w:val="00C34EA0"/>
    <w:rsid w:val="00C356DF"/>
    <w:rsid w:val="00C43B2F"/>
    <w:rsid w:val="00C4710D"/>
    <w:rsid w:val="00C511C1"/>
    <w:rsid w:val="00C52645"/>
    <w:rsid w:val="00C56D87"/>
    <w:rsid w:val="00C71E14"/>
    <w:rsid w:val="00C75741"/>
    <w:rsid w:val="00C82AD1"/>
    <w:rsid w:val="00C90F44"/>
    <w:rsid w:val="00C920F2"/>
    <w:rsid w:val="00CA250C"/>
    <w:rsid w:val="00CA29B2"/>
    <w:rsid w:val="00CA4FE4"/>
    <w:rsid w:val="00CB06D7"/>
    <w:rsid w:val="00CB3058"/>
    <w:rsid w:val="00CB6225"/>
    <w:rsid w:val="00CC6120"/>
    <w:rsid w:val="00CD5352"/>
    <w:rsid w:val="00CD7161"/>
    <w:rsid w:val="00CE74BE"/>
    <w:rsid w:val="00CF0ABA"/>
    <w:rsid w:val="00D013BE"/>
    <w:rsid w:val="00D11024"/>
    <w:rsid w:val="00D11166"/>
    <w:rsid w:val="00D168B3"/>
    <w:rsid w:val="00D21880"/>
    <w:rsid w:val="00D30921"/>
    <w:rsid w:val="00D34312"/>
    <w:rsid w:val="00D44467"/>
    <w:rsid w:val="00D711F2"/>
    <w:rsid w:val="00D93782"/>
    <w:rsid w:val="00DA3954"/>
    <w:rsid w:val="00DA52FD"/>
    <w:rsid w:val="00DB2540"/>
    <w:rsid w:val="00DB6464"/>
    <w:rsid w:val="00DD341D"/>
    <w:rsid w:val="00DD7DAE"/>
    <w:rsid w:val="00DF39B0"/>
    <w:rsid w:val="00E11720"/>
    <w:rsid w:val="00E144EE"/>
    <w:rsid w:val="00E247F1"/>
    <w:rsid w:val="00E27C0C"/>
    <w:rsid w:val="00E30867"/>
    <w:rsid w:val="00E30A74"/>
    <w:rsid w:val="00E419CA"/>
    <w:rsid w:val="00E41C19"/>
    <w:rsid w:val="00E52961"/>
    <w:rsid w:val="00E54CF5"/>
    <w:rsid w:val="00E56067"/>
    <w:rsid w:val="00E70B7F"/>
    <w:rsid w:val="00E75D55"/>
    <w:rsid w:val="00E90339"/>
    <w:rsid w:val="00E941EA"/>
    <w:rsid w:val="00EA5F95"/>
    <w:rsid w:val="00EA73F9"/>
    <w:rsid w:val="00EB044B"/>
    <w:rsid w:val="00EB4BB8"/>
    <w:rsid w:val="00EC2079"/>
    <w:rsid w:val="00EC3167"/>
    <w:rsid w:val="00ED4203"/>
    <w:rsid w:val="00ED53B2"/>
    <w:rsid w:val="00EE27AD"/>
    <w:rsid w:val="00EE3ADF"/>
    <w:rsid w:val="00EF3C87"/>
    <w:rsid w:val="00F0236F"/>
    <w:rsid w:val="00F033C8"/>
    <w:rsid w:val="00F14798"/>
    <w:rsid w:val="00F16629"/>
    <w:rsid w:val="00F429A4"/>
    <w:rsid w:val="00F433F8"/>
    <w:rsid w:val="00F442C0"/>
    <w:rsid w:val="00F47B4A"/>
    <w:rsid w:val="00F521F5"/>
    <w:rsid w:val="00F63F59"/>
    <w:rsid w:val="00F6795B"/>
    <w:rsid w:val="00F67B79"/>
    <w:rsid w:val="00F7524B"/>
    <w:rsid w:val="00F75AFB"/>
    <w:rsid w:val="00F84DE6"/>
    <w:rsid w:val="00F85A17"/>
    <w:rsid w:val="00F873A3"/>
    <w:rsid w:val="00F964C8"/>
    <w:rsid w:val="00F96E26"/>
    <w:rsid w:val="00FA2193"/>
    <w:rsid w:val="00FA5B12"/>
    <w:rsid w:val="00FA7B8B"/>
    <w:rsid w:val="00FB5791"/>
    <w:rsid w:val="00FC6B56"/>
    <w:rsid w:val="00FE5C06"/>
    <w:rsid w:val="00FE67C4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9D41D-94B8-4D4F-9FC7-9CBFFD7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9A"/>
  </w:style>
  <w:style w:type="paragraph" w:styleId="Footer">
    <w:name w:val="footer"/>
    <w:basedOn w:val="Normal"/>
    <w:link w:val="Foot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9A"/>
  </w:style>
  <w:style w:type="paragraph" w:styleId="BalloonText">
    <w:name w:val="Balloon Text"/>
    <w:basedOn w:val="Normal"/>
    <w:link w:val="BalloonTextChar"/>
    <w:uiPriority w:val="99"/>
    <w:semiHidden/>
    <w:unhideWhenUsed/>
    <w:rsid w:val="00FE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gzk.rks-gov.net/ActDocumentDetail.aspx?ActID=3702" TargetMode="External"/><Relationship Id="rId18" Type="http://schemas.openxmlformats.org/officeDocument/2006/relationships/hyperlink" Target="https://masht.rks-gov.net/udhezimi-adinistrativ-masht-nr-08-2018-per-themelimin-dhe-fuqizimin-e-ekipeve-parandalimdhe-kbmnapu/" TargetMode="External"/><Relationship Id="rId26" Type="http://schemas.openxmlformats.org/officeDocument/2006/relationships/hyperlink" Target="https://masht.rks-gov.net/ua-masht-nr-02-2014-numri-i-nxenesve-me-module-dhe-kualifikime-te-aap-resurset-infrastruktura-shkollore-siguria-e-nxenesv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sht.rks-gov.net/udhezim-administrativ-masht-nr-08-per-dokumentacionin-shkollor-ne-arsimin-parauniversitar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gzk.rks-gov.net/ActDocumentDetail.aspx?ActID=2440" TargetMode="External"/><Relationship Id="rId25" Type="http://schemas.openxmlformats.org/officeDocument/2006/relationships/hyperlink" Target="https://masht.rks-gov.net/ua-masht-nr-01-2014-organizimi-dhe-planifikimi-i-procesit-arsimor-ne-arsimin-dhe-aftesimin-profesion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zk.rks-gov.net/ActDocumentDetail.aspx?ActID=2676" TargetMode="External"/><Relationship Id="rId20" Type="http://schemas.openxmlformats.org/officeDocument/2006/relationships/hyperlink" Target="https://masht.rks-gov.net/16-ua-per-kalimin-e-nxenesit-te-shkolles-se-mesme-te-larte-prej-nje-profili-arsimor-ne-tjetrin-prej-nje-shkolle-ne-shkollen-tjeter-nr-16-2011-date-30-12-201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masht.rks-gov.net/ua-nr-01-2016-dt-12-01-2016-per-percaktimin-e-kushteve-kritereve-dhe-procedurave-per-organizimin-e-mesimit-plotesues-per-nxenesit-e-riatdhesuar-organizimi-dhe-planifikimi-i-procesit-arsimor-ne-a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zk.rks-gov.net/ActDetail.aspx?ActID=2470" TargetMode="External"/><Relationship Id="rId23" Type="http://schemas.openxmlformats.org/officeDocument/2006/relationships/hyperlink" Target="https://masht.rks-gov.net/ua-masht-nr-19-2015-per-sisteminin-e-nxenesve-te-cilet-kane-migruar-nga-viti-shkollor-2014-2015/" TargetMode="External"/><Relationship Id="rId28" Type="http://schemas.openxmlformats.org/officeDocument/2006/relationships/hyperlink" Target="https://masht.rks-gov.net/ua-masht-nr-12-2014-perjashtimet-ne-moshe-me-rastin-e-regjistrimit-ne-arsimin-dhe-aftesimin-per-te-rritur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sht.rks-gov.net/9-ua-per-mbledhjen-dhe-raportimin-e-te-dhenave-statestikore-nga-shkollat-dhe-institucionet-parashkollore-ne-arsimimin-parauniversitar-duke-perdorur-sistemin-per-menaxhimin-e-informative-n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gzk.rks-gov.net/ActDocumentDetail.aspx?ActID=2770" TargetMode="External"/><Relationship Id="rId22" Type="http://schemas.openxmlformats.org/officeDocument/2006/relationships/hyperlink" Target="https://masht.rks-gov.net/ua-barasvlera-dhe-njohja-e-dokumenteve-te-arsimit-parauniversitar-te-leshuara-jashte-republikes-se-kosoves-nr-03-2012-date-02-05-2012/" TargetMode="External"/><Relationship Id="rId27" Type="http://schemas.openxmlformats.org/officeDocument/2006/relationships/hyperlink" Target="https://gzk.rks-gov.net/ActDocumentDetail.aspx?ActID=101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Jonuzi</dc:creator>
  <cp:lastModifiedBy>Adem Emini</cp:lastModifiedBy>
  <cp:revision>3</cp:revision>
  <cp:lastPrinted>2023-12-29T10:38:00Z</cp:lastPrinted>
  <dcterms:created xsi:type="dcterms:W3CDTF">2023-12-29T12:36:00Z</dcterms:created>
  <dcterms:modified xsi:type="dcterms:W3CDTF">2024-03-29T09:13:00Z</dcterms:modified>
</cp:coreProperties>
</file>